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2F" w:rsidRDefault="00567A2F" w:rsidP="00567A2F">
      <w:pPr>
        <w:rPr>
          <w:b/>
        </w:rPr>
      </w:pPr>
      <w:r>
        <w:rPr>
          <w:b/>
        </w:rPr>
        <w:t>Claire LOVISI</w:t>
      </w:r>
    </w:p>
    <w:p w:rsidR="00567A2F" w:rsidRDefault="00567A2F" w:rsidP="00567A2F">
      <w:pPr>
        <w:rPr>
          <w:b/>
        </w:rPr>
      </w:pPr>
    </w:p>
    <w:p w:rsidR="00567A2F" w:rsidRPr="00567A2F" w:rsidRDefault="00567A2F" w:rsidP="00567A2F">
      <w:r w:rsidRPr="00567A2F">
        <w:t>Professeur à l’Ecole de Droit de la Sorbonne</w:t>
      </w:r>
    </w:p>
    <w:p w:rsidR="00567A2F" w:rsidRDefault="00567A2F" w:rsidP="00567A2F">
      <w:pPr>
        <w:rPr>
          <w:b/>
        </w:rPr>
      </w:pPr>
    </w:p>
    <w:p w:rsidR="00567A2F" w:rsidRDefault="00567A2F" w:rsidP="00567A2F">
      <w:pPr>
        <w:jc w:val="both"/>
      </w:pPr>
      <w:r>
        <w:t>Née le 23 août 1954 à Epinal (Vosges)</w:t>
      </w:r>
    </w:p>
    <w:p w:rsidR="00567A2F" w:rsidRDefault="00567A2F" w:rsidP="00567A2F">
      <w:r>
        <w:t>Trois enfants nés respectivement en 1979 et 1985</w:t>
      </w:r>
    </w:p>
    <w:p w:rsidR="00567A2F" w:rsidRDefault="00567A2F" w:rsidP="00567A2F"/>
    <w:p w:rsidR="00567A2F" w:rsidRDefault="00567A2F" w:rsidP="00567A2F">
      <w:r>
        <w:t xml:space="preserve"> </w:t>
      </w:r>
    </w:p>
    <w:p w:rsidR="00567A2F" w:rsidRDefault="00567A2F" w:rsidP="00567A2F"/>
    <w:p w:rsidR="00567A2F" w:rsidRDefault="00567A2F" w:rsidP="00567A2F">
      <w:r>
        <w:rPr>
          <w:b/>
        </w:rPr>
        <w:t>Titres universitaires</w:t>
      </w:r>
      <w:r>
        <w:t xml:space="preserve"> </w:t>
      </w:r>
    </w:p>
    <w:p w:rsidR="00567A2F" w:rsidRDefault="00567A2F" w:rsidP="00567A2F"/>
    <w:p w:rsidR="00567A2F" w:rsidRDefault="00567A2F" w:rsidP="00567A2F">
      <w:r>
        <w:t>Maîtrise en droit (Paris XIII – 1977)</w:t>
      </w:r>
    </w:p>
    <w:p w:rsidR="00567A2F" w:rsidRDefault="00567A2F" w:rsidP="00567A2F">
      <w:r>
        <w:t>Licence ès lettres (Histoire – Paris XIII – 1979)</w:t>
      </w:r>
    </w:p>
    <w:p w:rsidR="00567A2F" w:rsidRDefault="00567A2F" w:rsidP="00567A2F">
      <w:r>
        <w:t>DEA d’histoire du droit (Paris II – mars 1981)</w:t>
      </w:r>
    </w:p>
    <w:p w:rsidR="00567A2F" w:rsidRDefault="00567A2F" w:rsidP="00567A2F">
      <w:r>
        <w:t>DEA de droit public (Paris II – juin 1981)</w:t>
      </w:r>
    </w:p>
    <w:p w:rsidR="00567A2F" w:rsidRDefault="00567A2F" w:rsidP="00567A2F">
      <w:r>
        <w:t>Doctorat en droit (Droit romain- Paris II -1996)</w:t>
      </w:r>
    </w:p>
    <w:p w:rsidR="00567A2F" w:rsidRDefault="00567A2F" w:rsidP="00567A2F">
      <w:r>
        <w:t>Agrégation d’histoire du droit et de droit romain (1998)</w:t>
      </w:r>
    </w:p>
    <w:p w:rsidR="00567A2F" w:rsidRDefault="00567A2F" w:rsidP="00567A2F"/>
    <w:p w:rsidR="00567A2F" w:rsidRDefault="00567A2F" w:rsidP="00567A2F">
      <w:pPr>
        <w:rPr>
          <w:b/>
        </w:rPr>
      </w:pPr>
    </w:p>
    <w:p w:rsidR="00567A2F" w:rsidRDefault="00567A2F" w:rsidP="00567A2F">
      <w:pPr>
        <w:rPr>
          <w:b/>
        </w:rPr>
      </w:pPr>
    </w:p>
    <w:p w:rsidR="00567A2F" w:rsidRDefault="00567A2F" w:rsidP="00567A2F">
      <w:r>
        <w:rPr>
          <w:b/>
        </w:rPr>
        <w:t>Parcours professionnel</w:t>
      </w:r>
      <w:r>
        <w:t xml:space="preserve"> </w:t>
      </w:r>
    </w:p>
    <w:p w:rsidR="00567A2F" w:rsidRDefault="00567A2F" w:rsidP="00567A2F"/>
    <w:p w:rsidR="00567A2F" w:rsidRDefault="00567A2F" w:rsidP="00567A2F">
      <w:pPr>
        <w:rPr>
          <w:b/>
        </w:rPr>
      </w:pPr>
      <w:r>
        <w:rPr>
          <w:b/>
        </w:rPr>
        <w:t>* Activités d’enseignement et de recherche </w:t>
      </w:r>
    </w:p>
    <w:p w:rsidR="00567A2F" w:rsidRDefault="00567A2F" w:rsidP="00567A2F"/>
    <w:p w:rsidR="00567A2F" w:rsidRDefault="00567A2F" w:rsidP="00567A2F">
      <w:r>
        <w:t>1983-1997 : assistante à l’Université de Haute-Normandie (Rouen)</w:t>
      </w:r>
    </w:p>
    <w:p w:rsidR="00567A2F" w:rsidRDefault="00567A2F" w:rsidP="00567A2F">
      <w:r>
        <w:t>1997-1998 : maître de conférences à l’Université Paris II (Panthéon-Assas)</w:t>
      </w:r>
    </w:p>
    <w:p w:rsidR="00567A2F" w:rsidRDefault="00567A2F" w:rsidP="00567A2F">
      <w:r>
        <w:t>1998-2000 : professeur à l’Université d’Angers (directrice du département droit)</w:t>
      </w:r>
    </w:p>
    <w:p w:rsidR="00567A2F" w:rsidRDefault="00567A2F" w:rsidP="00567A2F">
      <w:r>
        <w:t>2000-2003 : professeur à l’Université Paris I (Panthéon-Sorbonne)</w:t>
      </w:r>
    </w:p>
    <w:p w:rsidR="00567A2F" w:rsidRDefault="00567A2F" w:rsidP="00567A2F">
      <w:r>
        <w:t xml:space="preserve">Depuis 2015 :  professeur à l’Université Paris I, Ecole de Droit de la Sorbonne. </w:t>
      </w:r>
    </w:p>
    <w:p w:rsidR="00567A2F" w:rsidRDefault="00567A2F" w:rsidP="00567A2F"/>
    <w:p w:rsidR="00567A2F" w:rsidRDefault="00567A2F" w:rsidP="00567A2F">
      <w:pPr>
        <w:rPr>
          <w:b/>
        </w:rPr>
      </w:pPr>
      <w:r>
        <w:rPr>
          <w:b/>
        </w:rPr>
        <w:t>* Détachements</w:t>
      </w:r>
    </w:p>
    <w:p w:rsidR="00567A2F" w:rsidRDefault="00567A2F" w:rsidP="00567A2F"/>
    <w:p w:rsidR="00567A2F" w:rsidRDefault="00567A2F" w:rsidP="00567A2F">
      <w:r>
        <w:t>21 juillet 2003- 20 juillet 2005 : rectrice de l’Académie de Dijon</w:t>
      </w:r>
    </w:p>
    <w:p w:rsidR="00567A2F" w:rsidRDefault="00567A2F" w:rsidP="00567A2F">
      <w:r>
        <w:t>20 juillet 2005- mai 2007 : rectrice de l’Académie d’Orléans-Tours</w:t>
      </w:r>
    </w:p>
    <w:p w:rsidR="00567A2F" w:rsidRDefault="00567A2F" w:rsidP="00567A2F">
      <w:r>
        <w:t>Mai 2007- juin 2008 : directrice adjointe du Cabinet du Ministre de l’Education nationale</w:t>
      </w:r>
    </w:p>
    <w:p w:rsidR="00567A2F" w:rsidRDefault="00567A2F" w:rsidP="00567A2F">
      <w:r>
        <w:t>11 juin 2008- 30 novembre 2010 : rectrice de l’Académie de Strasbourg</w:t>
      </w:r>
    </w:p>
    <w:p w:rsidR="00567A2F" w:rsidRDefault="00567A2F" w:rsidP="00567A2F">
      <w:r>
        <w:t>1</w:t>
      </w:r>
      <w:r>
        <w:rPr>
          <w:vertAlign w:val="superscript"/>
        </w:rPr>
        <w:t>er</w:t>
      </w:r>
      <w:r>
        <w:t xml:space="preserve"> décembre 2010- 31 juillet 2015 : rectrice de l’Académie de Nice</w:t>
      </w:r>
    </w:p>
    <w:p w:rsidR="00567A2F" w:rsidRDefault="00567A2F" w:rsidP="00567A2F"/>
    <w:p w:rsidR="005670D4" w:rsidRDefault="005670D4"/>
    <w:p w:rsidR="00C57D8E" w:rsidRDefault="00C57D8E" w:rsidP="00A10324">
      <w:pPr>
        <w:rPr>
          <w:b/>
          <w:sz w:val="22"/>
          <w:szCs w:val="22"/>
        </w:rPr>
      </w:pPr>
    </w:p>
    <w:p w:rsidR="00A10324" w:rsidRDefault="00A10324" w:rsidP="00A10324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Principales publications </w:t>
      </w:r>
    </w:p>
    <w:p w:rsidR="00A10324" w:rsidRDefault="00A10324" w:rsidP="00A10324">
      <w:pPr>
        <w:rPr>
          <w:b/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b/>
          <w:sz w:val="22"/>
          <w:szCs w:val="22"/>
        </w:rPr>
        <w:t>Ouvrages</w:t>
      </w:r>
      <w:r>
        <w:rPr>
          <w:sz w:val="22"/>
          <w:szCs w:val="22"/>
        </w:rPr>
        <w:t xml:space="preserve"> 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Les lois fondamentales au XVIII</w:t>
      </w:r>
      <w:r>
        <w:rPr>
          <w:i/>
          <w:sz w:val="22"/>
          <w:szCs w:val="22"/>
          <w:vertAlign w:val="superscript"/>
        </w:rPr>
        <w:t>ème</w:t>
      </w:r>
      <w:r>
        <w:rPr>
          <w:i/>
          <w:sz w:val="22"/>
          <w:szCs w:val="22"/>
        </w:rPr>
        <w:t xml:space="preserve"> siècle. Recherches sur la loi de dévolution de la Couronne</w:t>
      </w:r>
      <w:r>
        <w:rPr>
          <w:sz w:val="22"/>
          <w:szCs w:val="22"/>
        </w:rPr>
        <w:t>, Paris, PUF, 1984.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Contribution à l’étude de la peine de mort sous la République romaine (509-149 avant J.-C.)</w:t>
      </w:r>
      <w:r>
        <w:rPr>
          <w:sz w:val="22"/>
          <w:szCs w:val="22"/>
        </w:rPr>
        <w:t xml:space="preserve">, Paris, De </w:t>
      </w:r>
      <w:proofErr w:type="spellStart"/>
      <w:r>
        <w:rPr>
          <w:sz w:val="22"/>
          <w:szCs w:val="22"/>
        </w:rPr>
        <w:t>Boccard</w:t>
      </w:r>
      <w:proofErr w:type="spellEnd"/>
      <w:r>
        <w:rPr>
          <w:sz w:val="22"/>
          <w:szCs w:val="22"/>
        </w:rPr>
        <w:t>, 1999.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Introduction historique au droit</w:t>
      </w:r>
      <w:r>
        <w:rPr>
          <w:sz w:val="22"/>
          <w:szCs w:val="22"/>
        </w:rPr>
        <w:t>, Paris, Dalloz, 5</w:t>
      </w:r>
      <w:r>
        <w:rPr>
          <w:sz w:val="22"/>
          <w:szCs w:val="22"/>
          <w:vertAlign w:val="superscript"/>
        </w:rPr>
        <w:t>ème</w:t>
      </w:r>
      <w:r>
        <w:rPr>
          <w:sz w:val="22"/>
          <w:szCs w:val="22"/>
        </w:rPr>
        <w:t xml:space="preserve"> édition 2016. 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Articles 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La peine de mort au quotidien</w:t>
      </w:r>
      <w:r>
        <w:rPr>
          <w:sz w:val="22"/>
          <w:szCs w:val="22"/>
        </w:rPr>
        <w:t xml:space="preserve">, dans F. </w:t>
      </w:r>
      <w:proofErr w:type="spellStart"/>
      <w:r>
        <w:rPr>
          <w:sz w:val="22"/>
          <w:szCs w:val="22"/>
        </w:rPr>
        <w:t>Hinard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.), </w:t>
      </w:r>
      <w:r>
        <w:rPr>
          <w:i/>
          <w:sz w:val="22"/>
          <w:szCs w:val="22"/>
        </w:rPr>
        <w:t>La mort au quotidien dans le monde romain</w:t>
      </w:r>
      <w:r>
        <w:rPr>
          <w:sz w:val="22"/>
          <w:szCs w:val="22"/>
        </w:rPr>
        <w:t xml:space="preserve">, Paris, De </w:t>
      </w:r>
      <w:proofErr w:type="spellStart"/>
      <w:r>
        <w:rPr>
          <w:sz w:val="22"/>
          <w:szCs w:val="22"/>
        </w:rPr>
        <w:t>Boccard</w:t>
      </w:r>
      <w:proofErr w:type="spellEnd"/>
      <w:r>
        <w:rPr>
          <w:sz w:val="22"/>
          <w:szCs w:val="22"/>
        </w:rPr>
        <w:t>, 1995, pp. 23-29.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Deux usages du serment dans l’Italie primitive</w:t>
      </w:r>
      <w:r>
        <w:rPr>
          <w:sz w:val="22"/>
          <w:szCs w:val="22"/>
        </w:rPr>
        <w:t xml:space="preserve">, dans </w:t>
      </w:r>
      <w:r>
        <w:rPr>
          <w:i/>
          <w:sz w:val="22"/>
          <w:szCs w:val="22"/>
        </w:rPr>
        <w:t>Jurer et maudire : pratiques politiques et usages juridiques du serment dans le Proche Orient ancien</w:t>
      </w:r>
      <w:r>
        <w:rPr>
          <w:sz w:val="22"/>
          <w:szCs w:val="22"/>
        </w:rPr>
        <w:t xml:space="preserve">, textes réunis par S. </w:t>
      </w:r>
      <w:proofErr w:type="spellStart"/>
      <w:r>
        <w:rPr>
          <w:sz w:val="22"/>
          <w:szCs w:val="22"/>
        </w:rPr>
        <w:t>Lafont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Univ</w:t>
      </w:r>
      <w:proofErr w:type="spellEnd"/>
      <w:r>
        <w:rPr>
          <w:sz w:val="22"/>
          <w:szCs w:val="22"/>
        </w:rPr>
        <w:t>. Paris X, 1997, pp. 175-184.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Vestale, </w:t>
      </w:r>
      <w:proofErr w:type="spellStart"/>
      <w:r>
        <w:rPr>
          <w:i/>
          <w:sz w:val="22"/>
          <w:szCs w:val="22"/>
        </w:rPr>
        <w:t>incestus</w:t>
      </w:r>
      <w:proofErr w:type="spellEnd"/>
      <w:r>
        <w:rPr>
          <w:i/>
          <w:sz w:val="22"/>
          <w:szCs w:val="22"/>
        </w:rPr>
        <w:t xml:space="preserve"> et juridiction pontificale sous la République romaine</w:t>
      </w:r>
      <w:r>
        <w:rPr>
          <w:sz w:val="22"/>
          <w:szCs w:val="22"/>
        </w:rPr>
        <w:t>, MEFRA, 1998, pp. 699-735.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A l’origine de la loi </w:t>
      </w:r>
      <w:proofErr w:type="spellStart"/>
      <w:r>
        <w:rPr>
          <w:i/>
          <w:sz w:val="22"/>
          <w:szCs w:val="22"/>
        </w:rPr>
        <w:t>Scantinia</w:t>
      </w:r>
      <w:proofErr w:type="spellEnd"/>
      <w:r>
        <w:rPr>
          <w:i/>
          <w:sz w:val="22"/>
          <w:szCs w:val="22"/>
        </w:rPr>
        <w:t> ?</w:t>
      </w:r>
      <w:r>
        <w:rPr>
          <w:sz w:val="22"/>
          <w:szCs w:val="22"/>
        </w:rPr>
        <w:t xml:space="preserve"> dans </w:t>
      </w:r>
      <w:r>
        <w:rPr>
          <w:i/>
          <w:sz w:val="22"/>
          <w:szCs w:val="22"/>
        </w:rPr>
        <w:t xml:space="preserve">Mélanges à la mémoire de André </w:t>
      </w:r>
      <w:proofErr w:type="spellStart"/>
      <w:r>
        <w:rPr>
          <w:i/>
          <w:sz w:val="22"/>
          <w:szCs w:val="22"/>
        </w:rPr>
        <w:t>Magdelain</w:t>
      </w:r>
      <w:proofErr w:type="spellEnd"/>
      <w:r>
        <w:rPr>
          <w:sz w:val="22"/>
          <w:szCs w:val="22"/>
        </w:rPr>
        <w:t>, Etudes coordonnées et rassemblées par M. Humbert et Y. Thomas, Paris, LGDJ, 1998, pp. 275-283.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L’entreprise des pompes funèbres</w:t>
      </w:r>
      <w:r>
        <w:rPr>
          <w:sz w:val="22"/>
          <w:szCs w:val="22"/>
        </w:rPr>
        <w:t xml:space="preserve">, dans F. </w:t>
      </w:r>
      <w:proofErr w:type="spellStart"/>
      <w:r>
        <w:rPr>
          <w:sz w:val="22"/>
          <w:szCs w:val="22"/>
        </w:rPr>
        <w:t>Hinard</w:t>
      </w:r>
      <w:proofErr w:type="spellEnd"/>
      <w:r>
        <w:rPr>
          <w:sz w:val="22"/>
          <w:szCs w:val="22"/>
        </w:rPr>
        <w:t xml:space="preserve"> et </w:t>
      </w:r>
      <w:proofErr w:type="spellStart"/>
      <w:r>
        <w:rPr>
          <w:sz w:val="22"/>
          <w:szCs w:val="22"/>
        </w:rPr>
        <w:t>J.-Ch</w:t>
      </w:r>
      <w:proofErr w:type="spellEnd"/>
      <w:r>
        <w:rPr>
          <w:sz w:val="22"/>
          <w:szCs w:val="22"/>
        </w:rPr>
        <w:t>. Dumont (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 xml:space="preserve">.), </w:t>
      </w:r>
      <w:proofErr w:type="spellStart"/>
      <w:r>
        <w:rPr>
          <w:i/>
          <w:sz w:val="22"/>
          <w:szCs w:val="22"/>
        </w:rPr>
        <w:t>Libitina</w:t>
      </w:r>
      <w:proofErr w:type="spellEnd"/>
      <w:r>
        <w:rPr>
          <w:i/>
          <w:sz w:val="22"/>
          <w:szCs w:val="22"/>
        </w:rPr>
        <w:t>. Pompes funèbres et supplices en Campanie à l’époque d’Auguste</w:t>
      </w:r>
      <w:r>
        <w:rPr>
          <w:sz w:val="22"/>
          <w:szCs w:val="22"/>
        </w:rPr>
        <w:t xml:space="preserve">, Paris, De </w:t>
      </w:r>
      <w:proofErr w:type="spellStart"/>
      <w:r>
        <w:rPr>
          <w:sz w:val="22"/>
          <w:szCs w:val="22"/>
        </w:rPr>
        <w:t>Boccard</w:t>
      </w:r>
      <w:proofErr w:type="spellEnd"/>
      <w:r>
        <w:rPr>
          <w:sz w:val="22"/>
          <w:szCs w:val="22"/>
        </w:rPr>
        <w:t>, 2003, pp. 57-68.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Les supplices</w:t>
      </w:r>
      <w:r>
        <w:rPr>
          <w:sz w:val="22"/>
          <w:szCs w:val="22"/>
        </w:rPr>
        <w:t xml:space="preserve">, dans F. </w:t>
      </w:r>
      <w:proofErr w:type="spellStart"/>
      <w:r>
        <w:rPr>
          <w:sz w:val="22"/>
          <w:szCs w:val="22"/>
        </w:rPr>
        <w:t>Hinard</w:t>
      </w:r>
      <w:proofErr w:type="spellEnd"/>
      <w:r>
        <w:rPr>
          <w:sz w:val="22"/>
          <w:szCs w:val="22"/>
        </w:rPr>
        <w:t xml:space="preserve"> et </w:t>
      </w:r>
      <w:proofErr w:type="spellStart"/>
      <w:r>
        <w:rPr>
          <w:sz w:val="22"/>
          <w:szCs w:val="22"/>
        </w:rPr>
        <w:t>J.-Ch</w:t>
      </w:r>
      <w:proofErr w:type="spellEnd"/>
      <w:r>
        <w:rPr>
          <w:sz w:val="22"/>
          <w:szCs w:val="22"/>
        </w:rPr>
        <w:t>. Dumont (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 xml:space="preserve">.), </w:t>
      </w:r>
      <w:proofErr w:type="spellStart"/>
      <w:r>
        <w:rPr>
          <w:i/>
          <w:sz w:val="22"/>
          <w:szCs w:val="22"/>
        </w:rPr>
        <w:t>Libitina</w:t>
      </w:r>
      <w:proofErr w:type="spellEnd"/>
      <w:r>
        <w:rPr>
          <w:i/>
          <w:sz w:val="22"/>
          <w:szCs w:val="22"/>
        </w:rPr>
        <w:t>. Pompes funèbres et supplices en Campanie à l’époque d’Auguste</w:t>
      </w:r>
      <w:r>
        <w:rPr>
          <w:sz w:val="22"/>
          <w:szCs w:val="22"/>
        </w:rPr>
        <w:t xml:space="preserve">, Paris, De </w:t>
      </w:r>
      <w:proofErr w:type="spellStart"/>
      <w:r>
        <w:rPr>
          <w:sz w:val="22"/>
          <w:szCs w:val="22"/>
        </w:rPr>
        <w:t>Boccard</w:t>
      </w:r>
      <w:proofErr w:type="spellEnd"/>
      <w:r>
        <w:rPr>
          <w:sz w:val="22"/>
          <w:szCs w:val="22"/>
        </w:rPr>
        <w:t>, 2003, pp. 89-95.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Les espaces successifs de la citoyenneté à Rome</w:t>
      </w:r>
      <w:r>
        <w:rPr>
          <w:sz w:val="22"/>
          <w:szCs w:val="22"/>
        </w:rPr>
        <w:t xml:space="preserve">, dans P. </w:t>
      </w:r>
      <w:proofErr w:type="spellStart"/>
      <w:r>
        <w:rPr>
          <w:sz w:val="22"/>
          <w:szCs w:val="22"/>
        </w:rPr>
        <w:t>Gonod</w:t>
      </w:r>
      <w:proofErr w:type="spellEnd"/>
      <w:r>
        <w:rPr>
          <w:sz w:val="22"/>
          <w:szCs w:val="22"/>
        </w:rPr>
        <w:t xml:space="preserve"> et J.-P. Dubois (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 xml:space="preserve">.), </w:t>
      </w:r>
      <w:r>
        <w:rPr>
          <w:i/>
          <w:sz w:val="22"/>
          <w:szCs w:val="22"/>
        </w:rPr>
        <w:t>Citoyenneté, souveraineté, société civile</w:t>
      </w:r>
      <w:r>
        <w:rPr>
          <w:sz w:val="22"/>
          <w:szCs w:val="22"/>
        </w:rPr>
        <w:t>, Paris, Dalloz, 2003, pp. 9-20.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Les origines d’une coutume à Rome : naissance du procès populaire d’amende</w:t>
      </w:r>
      <w:r>
        <w:rPr>
          <w:sz w:val="22"/>
          <w:szCs w:val="22"/>
        </w:rPr>
        <w:t xml:space="preserve">, dans </w:t>
      </w:r>
      <w:proofErr w:type="spellStart"/>
      <w:r>
        <w:rPr>
          <w:i/>
          <w:sz w:val="22"/>
          <w:szCs w:val="22"/>
        </w:rPr>
        <w:t>Auctoritas</w:t>
      </w:r>
      <w:proofErr w:type="spellEnd"/>
      <w:r>
        <w:rPr>
          <w:i/>
          <w:sz w:val="22"/>
          <w:szCs w:val="22"/>
        </w:rPr>
        <w:t>. Mélanges offerts au professeur Olivier Guillot</w:t>
      </w:r>
      <w:r>
        <w:rPr>
          <w:sz w:val="22"/>
          <w:szCs w:val="22"/>
        </w:rPr>
        <w:t xml:space="preserve">, Etudes réunies par G. Constable et M. </w:t>
      </w:r>
      <w:proofErr w:type="spellStart"/>
      <w:r>
        <w:rPr>
          <w:sz w:val="22"/>
          <w:szCs w:val="22"/>
        </w:rPr>
        <w:t>Rouche</w:t>
      </w:r>
      <w:proofErr w:type="spellEnd"/>
      <w:r>
        <w:rPr>
          <w:sz w:val="22"/>
          <w:szCs w:val="22"/>
        </w:rPr>
        <w:t>, Paris, PUPS, 2006, pp. 45-56.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rPr>
          <w:sz w:val="22"/>
          <w:szCs w:val="22"/>
        </w:rPr>
      </w:pPr>
      <w:r>
        <w:rPr>
          <w:i/>
          <w:sz w:val="22"/>
          <w:szCs w:val="22"/>
        </w:rPr>
        <w:t>L’élimination de la vestale : peine ou sacrifice humain ?</w:t>
      </w:r>
      <w:r>
        <w:rPr>
          <w:sz w:val="22"/>
          <w:szCs w:val="22"/>
        </w:rPr>
        <w:t xml:space="preserve"> dans B. </w:t>
      </w:r>
      <w:proofErr w:type="spellStart"/>
      <w:r>
        <w:rPr>
          <w:sz w:val="22"/>
          <w:szCs w:val="22"/>
        </w:rPr>
        <w:t>Anagnostou</w:t>
      </w:r>
      <w:proofErr w:type="spellEnd"/>
      <w:r>
        <w:rPr>
          <w:sz w:val="22"/>
          <w:szCs w:val="22"/>
        </w:rPr>
        <w:t>-Canas (</w:t>
      </w:r>
      <w:proofErr w:type="spellStart"/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.), </w:t>
      </w:r>
      <w:r>
        <w:rPr>
          <w:i/>
          <w:sz w:val="22"/>
          <w:szCs w:val="22"/>
        </w:rPr>
        <w:t>L’organisation matérielle des cultes dans l’Antiquité</w:t>
      </w:r>
      <w:r>
        <w:rPr>
          <w:sz w:val="22"/>
          <w:szCs w:val="22"/>
        </w:rPr>
        <w:t>, Paris, éditions Cybèle, 2010, pp. 109-121.</w:t>
      </w:r>
    </w:p>
    <w:p w:rsidR="00A10324" w:rsidRDefault="00A10324" w:rsidP="00A10324">
      <w:pPr>
        <w:rPr>
          <w:sz w:val="22"/>
          <w:szCs w:val="22"/>
        </w:rPr>
      </w:pPr>
    </w:p>
    <w:p w:rsidR="00A10324" w:rsidRDefault="00A10324" w:rsidP="00A10324">
      <w:pPr>
        <w:pStyle w:val="PrformatHTML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Divers articles du </w:t>
      </w:r>
      <w:r>
        <w:rPr>
          <w:rFonts w:ascii="Times New Roman" w:hAnsi="Times New Roman" w:cs="Times New Roman"/>
          <w:i/>
          <w:sz w:val="22"/>
          <w:szCs w:val="22"/>
        </w:rPr>
        <w:t xml:space="preserve">Dictionnaire de l'Antiquité sous la direction de J.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Leclant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Paris, PUF, 2005 :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coercitio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(droit romain), mort (peine) (droit romain),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quaestores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(droit romain),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sacer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(droit romain)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10324" w:rsidRDefault="00A10324"/>
    <w:sectPr w:rsidR="00A10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17"/>
    <w:rsid w:val="005670D4"/>
    <w:rsid w:val="00567A2F"/>
    <w:rsid w:val="00995317"/>
    <w:rsid w:val="00A10324"/>
    <w:rsid w:val="00C5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4E42"/>
  <w15:chartTrackingRefBased/>
  <w15:docId w15:val="{7797892F-F520-4564-84DF-9A24810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semiHidden/>
    <w:unhideWhenUsed/>
    <w:rsid w:val="00A10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A1032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6</cp:revision>
  <dcterms:created xsi:type="dcterms:W3CDTF">2016-10-28T17:34:00Z</dcterms:created>
  <dcterms:modified xsi:type="dcterms:W3CDTF">2016-10-28T18:10:00Z</dcterms:modified>
</cp:coreProperties>
</file>