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DD02" w14:textId="77777777" w:rsidR="00A96A8E" w:rsidRDefault="00A96A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 w:cs="Arial"/>
          <w:color w:val="000000"/>
          <w:sz w:val="22"/>
          <w:szCs w:val="22"/>
        </w:rPr>
      </w:pPr>
    </w:p>
    <w:tbl>
      <w:tblPr>
        <w:tblStyle w:val="a"/>
        <w:tblW w:w="103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4"/>
        <w:gridCol w:w="7541"/>
      </w:tblGrid>
      <w:tr w:rsidR="00A96A8E" w14:paraId="684CFF7A" w14:textId="77777777">
        <w:trPr>
          <w:trHeight w:val="340"/>
        </w:trPr>
        <w:tc>
          <w:tcPr>
            <w:tcW w:w="2834" w:type="dxa"/>
            <w:vAlign w:val="center"/>
          </w:tcPr>
          <w:p w14:paraId="2D537CC1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PERSONAL INFORMATION</w:t>
            </w:r>
          </w:p>
        </w:tc>
        <w:tc>
          <w:tcPr>
            <w:tcW w:w="7541" w:type="dxa"/>
            <w:vAlign w:val="center"/>
          </w:tcPr>
          <w:p w14:paraId="76E5C895" w14:textId="566E29B4" w:rsidR="00A96A8E" w:rsidRDefault="00051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Professor Sophie Robin-Olivier </w:t>
            </w:r>
          </w:p>
        </w:tc>
      </w:tr>
      <w:tr w:rsidR="00A96A8E" w14:paraId="148CABE5" w14:textId="77777777">
        <w:trPr>
          <w:trHeight w:val="227"/>
        </w:trPr>
        <w:tc>
          <w:tcPr>
            <w:tcW w:w="10375" w:type="dxa"/>
            <w:gridSpan w:val="2"/>
          </w:tcPr>
          <w:p w14:paraId="6CF1D531" w14:textId="77777777" w:rsidR="00A96A8E" w:rsidRDefault="00A96A8E">
            <w:pPr>
              <w:ind w:left="0" w:hanging="2"/>
            </w:pPr>
          </w:p>
        </w:tc>
      </w:tr>
      <w:tr w:rsidR="00A96A8E" w:rsidRPr="00551BCB" w14:paraId="741DCD48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73AB23AA" w14:textId="77777777" w:rsidR="00A96A8E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</w:p>
        </w:tc>
        <w:tc>
          <w:tcPr>
            <w:tcW w:w="7541" w:type="dxa"/>
          </w:tcPr>
          <w:p w14:paraId="078428CC" w14:textId="77777777" w:rsidR="00A96A8E" w:rsidRPr="000A1F9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 w:val="18"/>
                <w:szCs w:val="18"/>
                <w:lang w:val="fr-FR"/>
              </w:rPr>
            </w:pPr>
            <w:r w:rsidRPr="000A1F90">
              <w:rPr>
                <w:rFonts w:eastAsia="Arial" w:cs="Arial"/>
                <w:sz w:val="18"/>
                <w:szCs w:val="18"/>
                <w:lang w:val="fr-FR"/>
              </w:rPr>
              <w:t xml:space="preserve">8 rue la Bruyère, 75009 paris (France) </w:t>
            </w:r>
            <w:r>
              <w:rPr>
                <w:noProof/>
              </w:rPr>
              <w:drawing>
                <wp:anchor distT="0" distB="0" distL="0" distR="71755" simplePos="0" relativeHeight="251658240" behindDoc="0" locked="0" layoutInCell="1" hidden="0" allowOverlap="1" wp14:anchorId="34791636" wp14:editId="2455EC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 distT="0" distB="0" distL="0" distR="71755"/>
                  <wp:docPr id="103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96A8E" w14:paraId="50D5EE76" w14:textId="77777777">
        <w:trPr>
          <w:cantSplit/>
          <w:trHeight w:val="340"/>
        </w:trPr>
        <w:tc>
          <w:tcPr>
            <w:tcW w:w="2834" w:type="dxa"/>
            <w:vMerge/>
          </w:tcPr>
          <w:p w14:paraId="365945AF" w14:textId="77777777" w:rsidR="00A96A8E" w:rsidRPr="000A1F90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 w:val="18"/>
                <w:szCs w:val="18"/>
                <w:lang w:val="fr-FR"/>
              </w:rPr>
            </w:pPr>
          </w:p>
        </w:tc>
        <w:tc>
          <w:tcPr>
            <w:tcW w:w="7541" w:type="dxa"/>
          </w:tcPr>
          <w:p w14:paraId="19D30E3D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218"/>
              </w:tabs>
              <w:spacing w:line="240" w:lineRule="auto"/>
              <w:ind w:left="0" w:hanging="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667811212    </w:t>
            </w:r>
            <w:r>
              <w:rPr>
                <w:noProof/>
              </w:rPr>
              <w:drawing>
                <wp:anchor distT="0" distB="0" distL="0" distR="71755" simplePos="0" relativeHeight="251659264" behindDoc="0" locked="0" layoutInCell="1" hidden="0" allowOverlap="1" wp14:anchorId="0F4BF321" wp14:editId="6FBAE9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 distT="0" distB="0" distL="0" distR="71755"/>
                  <wp:docPr id="103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96A8E" w14:paraId="31A2AA04" w14:textId="77777777">
        <w:trPr>
          <w:cantSplit/>
          <w:trHeight w:val="340"/>
        </w:trPr>
        <w:tc>
          <w:tcPr>
            <w:tcW w:w="2834" w:type="dxa"/>
            <w:vMerge/>
          </w:tcPr>
          <w:p w14:paraId="3A29F677" w14:textId="77777777" w:rsidR="00A96A8E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7541" w:type="dxa"/>
            <w:vAlign w:val="center"/>
          </w:tcPr>
          <w:p w14:paraId="76E105A6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Sophie.Robin-Olivier@univ-paris1.fr </w:t>
            </w:r>
            <w:r>
              <w:rPr>
                <w:noProof/>
              </w:rPr>
              <w:drawing>
                <wp:anchor distT="0" distB="0" distL="0" distR="71755" simplePos="0" relativeHeight="251660288" behindDoc="0" locked="0" layoutInCell="1" hidden="0" allowOverlap="1" wp14:anchorId="70A6E78E" wp14:editId="4E0E2D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 distT="0" distB="0" distL="0" distR="71755"/>
                  <wp:docPr id="103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86126E8" w14:textId="77777777" w:rsidR="00A96A8E" w:rsidRDefault="00A96A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0"/>
        <w:tblpPr w:topFromText="85" w:vertAnchor="text" w:tblpY="85"/>
        <w:tblW w:w="103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A96A8E" w14:paraId="294AB723" w14:textId="77777777">
        <w:trPr>
          <w:trHeight w:val="170"/>
        </w:trPr>
        <w:tc>
          <w:tcPr>
            <w:tcW w:w="2835" w:type="dxa"/>
          </w:tcPr>
          <w:p w14:paraId="521E68BF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textDirection w:val="lrTb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WORK EXPERIENCE</w:t>
            </w:r>
          </w:p>
        </w:tc>
        <w:tc>
          <w:tcPr>
            <w:tcW w:w="7540" w:type="dxa"/>
          </w:tcPr>
          <w:p w14:paraId="73A558C0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textDirection w:val="lrTb"/>
              <w:rPr>
                <w:rFonts w:eastAsia="Arial" w:cs="Arial"/>
                <w:color w:val="402C24"/>
                <w:sz w:val="8"/>
                <w:szCs w:val="8"/>
              </w:rPr>
            </w:pPr>
            <w:r>
              <w:rPr>
                <w:rFonts w:eastAsia="Arial" w:cs="Arial"/>
                <w:noProof/>
                <w:color w:val="402C24"/>
                <w:sz w:val="8"/>
                <w:szCs w:val="8"/>
              </w:rPr>
              <w:drawing>
                <wp:inline distT="0" distB="0" distL="114300" distR="114300" wp14:anchorId="10F04A72" wp14:editId="6D64A737">
                  <wp:extent cx="4789170" cy="88265"/>
                  <wp:effectExtent l="0" t="0" r="0" b="0"/>
                  <wp:docPr id="102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882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color w:val="402C24"/>
                <w:sz w:val="8"/>
                <w:szCs w:val="8"/>
              </w:rPr>
              <w:t xml:space="preserve"> </w:t>
            </w:r>
          </w:p>
        </w:tc>
      </w:tr>
    </w:tbl>
    <w:p w14:paraId="32607715" w14:textId="77777777" w:rsidR="00A96A8E" w:rsidRDefault="00A96A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p w14:paraId="39C53167" w14:textId="77777777" w:rsidR="000A1F90" w:rsidRDefault="000A1F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p w14:paraId="5D050EEA" w14:textId="77777777" w:rsidR="000A1F90" w:rsidRDefault="00F529C9" w:rsidP="000A1F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80" w:firstLineChars="0" w:hanging="2160"/>
        <w:rPr>
          <w:rFonts w:eastAsia="Arial" w:cs="Arial"/>
          <w:szCs w:val="16"/>
        </w:rPr>
      </w:pPr>
      <w:r>
        <w:rPr>
          <w:rFonts w:eastAsia="Arial" w:cs="Arial"/>
          <w:color w:val="0E4194"/>
          <w:sz w:val="18"/>
          <w:szCs w:val="18"/>
        </w:rPr>
        <w:t xml:space="preserve">   </w:t>
      </w:r>
      <w:r w:rsidR="000A1F90">
        <w:rPr>
          <w:rFonts w:eastAsia="Arial" w:cs="Arial"/>
          <w:color w:val="0E4194"/>
          <w:sz w:val="18"/>
          <w:szCs w:val="18"/>
        </w:rPr>
        <w:t>01/0</w:t>
      </w:r>
      <w:r w:rsidR="00BF2A00">
        <w:rPr>
          <w:rFonts w:eastAsia="Arial" w:cs="Arial"/>
          <w:color w:val="0E4194"/>
          <w:sz w:val="18"/>
          <w:szCs w:val="18"/>
        </w:rPr>
        <w:t>1/</w:t>
      </w:r>
      <w:r w:rsidR="000A1F90">
        <w:rPr>
          <w:rFonts w:eastAsia="Arial" w:cs="Arial"/>
          <w:color w:val="0E4194"/>
          <w:sz w:val="18"/>
          <w:szCs w:val="18"/>
        </w:rPr>
        <w:t>20</w:t>
      </w:r>
      <w:r w:rsidR="00BF2A00">
        <w:rPr>
          <w:rFonts w:eastAsia="Arial" w:cs="Arial"/>
          <w:color w:val="0E4194"/>
          <w:sz w:val="18"/>
          <w:szCs w:val="18"/>
        </w:rPr>
        <w:t>24</w:t>
      </w:r>
      <w:r w:rsidR="000A1F90">
        <w:rPr>
          <w:rFonts w:eastAsia="Arial" w:cs="Arial"/>
          <w:color w:val="0E4194"/>
          <w:sz w:val="18"/>
          <w:szCs w:val="18"/>
        </w:rPr>
        <w:t>-Present</w:t>
      </w:r>
      <w:r w:rsidR="000A1F90">
        <w:rPr>
          <w:rFonts w:eastAsia="Arial" w:cs="Arial"/>
          <w:color w:val="0E4194"/>
          <w:sz w:val="18"/>
          <w:szCs w:val="18"/>
        </w:rPr>
        <w:tab/>
      </w:r>
      <w:r w:rsidR="000A1F90" w:rsidRPr="000A1F90">
        <w:rPr>
          <w:rFonts w:eastAsia="Arial" w:cs="Arial"/>
          <w:color w:val="0E4194"/>
          <w:sz w:val="22"/>
          <w:szCs w:val="22"/>
        </w:rPr>
        <w:t>Professor of Law, Director of the International and European Law Institute</w:t>
      </w:r>
      <w:r w:rsidR="000A1F90">
        <w:rPr>
          <w:rFonts w:eastAsia="Arial" w:cs="Arial"/>
          <w:color w:val="0E4194"/>
          <w:sz w:val="22"/>
          <w:szCs w:val="22"/>
        </w:rPr>
        <w:t xml:space="preserve"> (IREDIES)</w:t>
      </w:r>
    </w:p>
    <w:p w14:paraId="261A0053" w14:textId="77777777" w:rsidR="000A1F90" w:rsidRDefault="000A1F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 w:val="20"/>
          <w:szCs w:val="20"/>
        </w:rPr>
      </w:pPr>
      <w:r>
        <w:rPr>
          <w:rFonts w:eastAsia="Arial" w:cs="Arial"/>
          <w:szCs w:val="16"/>
        </w:rPr>
        <w:tab/>
      </w:r>
      <w:r>
        <w:rPr>
          <w:rFonts w:eastAsia="Arial" w:cs="Arial"/>
          <w:szCs w:val="16"/>
        </w:rPr>
        <w:tab/>
      </w:r>
      <w:r>
        <w:rPr>
          <w:rFonts w:eastAsia="Arial" w:cs="Arial"/>
          <w:szCs w:val="16"/>
        </w:rPr>
        <w:tab/>
      </w:r>
      <w:r>
        <w:rPr>
          <w:rFonts w:eastAsia="Arial" w:cs="Arial"/>
          <w:szCs w:val="16"/>
        </w:rPr>
        <w:tab/>
      </w:r>
      <w:r>
        <w:rPr>
          <w:rFonts w:eastAsia="Arial" w:cs="Arial"/>
          <w:szCs w:val="16"/>
        </w:rPr>
        <w:tab/>
      </w:r>
      <w:r>
        <w:rPr>
          <w:rFonts w:eastAsia="Arial" w:cs="Arial"/>
          <w:sz w:val="20"/>
          <w:szCs w:val="20"/>
        </w:rPr>
        <w:t>La Sorbonne school of law - University Paris 1, Paris (France)</w:t>
      </w:r>
    </w:p>
    <w:p w14:paraId="4E8B3769" w14:textId="11D57518" w:rsidR="000A1F90" w:rsidRDefault="000A1F90" w:rsidP="00A83863">
      <w:pPr>
        <w:pBdr>
          <w:top w:val="nil"/>
          <w:left w:val="nil"/>
          <w:bottom w:val="nil"/>
          <w:right w:val="nil"/>
          <w:between w:val="nil"/>
        </w:pBdr>
        <w:spacing w:before="28" w:after="56" w:line="240" w:lineRule="auto"/>
        <w:ind w:leftChars="0" w:left="2880" w:firstLineChars="0" w:firstLine="0"/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 xml:space="preserve">Teaching: EU </w:t>
      </w:r>
      <w:proofErr w:type="gramStart"/>
      <w:r>
        <w:rPr>
          <w:rFonts w:eastAsia="Arial" w:cs="Arial"/>
          <w:sz w:val="18"/>
          <w:szCs w:val="18"/>
        </w:rPr>
        <w:t>Law</w:t>
      </w:r>
      <w:r w:rsidR="0026650C">
        <w:rPr>
          <w:rFonts w:eastAsia="Arial" w:cs="Arial"/>
          <w:sz w:val="18"/>
          <w:szCs w:val="18"/>
        </w:rPr>
        <w:t xml:space="preserve"> </w:t>
      </w:r>
      <w:r>
        <w:rPr>
          <w:rFonts w:eastAsia="Arial" w:cs="Arial"/>
          <w:sz w:val="18"/>
          <w:szCs w:val="18"/>
        </w:rPr>
        <w:t>;</w:t>
      </w:r>
      <w:proofErr w:type="gramEnd"/>
      <w:r>
        <w:rPr>
          <w:rFonts w:eastAsia="Arial" w:cs="Arial"/>
          <w:sz w:val="18"/>
          <w:szCs w:val="18"/>
        </w:rPr>
        <w:t xml:space="preserve"> European Social Law; Labour Law and the protection of fundamental rights ; Anti-discrimination Law ; Free Trade, Climate change and Social Justice</w:t>
      </w:r>
    </w:p>
    <w:p w14:paraId="3E1F1354" w14:textId="77777777" w:rsidR="00551BCB" w:rsidRDefault="00551BCB" w:rsidP="00551BCB">
      <w:pPr>
        <w:pBdr>
          <w:top w:val="nil"/>
          <w:left w:val="nil"/>
          <w:bottom w:val="nil"/>
          <w:right w:val="nil"/>
          <w:between w:val="nil"/>
        </w:pBdr>
        <w:spacing w:before="28" w:after="56" w:line="240" w:lineRule="auto"/>
        <w:ind w:leftChars="0" w:left="0" w:firstLineChars="0" w:firstLine="0"/>
        <w:rPr>
          <w:rFonts w:eastAsia="Arial" w:cs="Arial"/>
          <w:sz w:val="18"/>
          <w:szCs w:val="18"/>
        </w:rPr>
      </w:pPr>
    </w:p>
    <w:p w14:paraId="01B61F8D" w14:textId="6B89D5AC" w:rsidR="00551BCB" w:rsidRDefault="00551BCB" w:rsidP="00551BCB">
      <w:pPr>
        <w:pBdr>
          <w:top w:val="nil"/>
          <w:left w:val="nil"/>
          <w:bottom w:val="nil"/>
          <w:right w:val="nil"/>
          <w:between w:val="nil"/>
        </w:pBdr>
        <w:spacing w:before="28" w:after="56" w:line="240" w:lineRule="auto"/>
        <w:ind w:leftChars="0" w:left="0" w:firstLineChars="0" w:firstLine="720"/>
        <w:rPr>
          <w:rFonts w:eastAsia="Arial" w:cs="Arial"/>
          <w:sz w:val="18"/>
          <w:szCs w:val="18"/>
        </w:rPr>
      </w:pPr>
      <w:r>
        <w:rPr>
          <w:rFonts w:eastAsia="Arial" w:cs="Arial"/>
          <w:color w:val="0E4194"/>
          <w:sz w:val="18"/>
          <w:szCs w:val="18"/>
        </w:rPr>
        <w:t xml:space="preserve">   </w:t>
      </w:r>
      <w:r w:rsidRPr="00551BCB">
        <w:rPr>
          <w:rFonts w:eastAsia="Arial" w:cs="Arial"/>
          <w:color w:val="0E4194"/>
          <w:sz w:val="18"/>
          <w:szCs w:val="18"/>
        </w:rPr>
        <w:t xml:space="preserve">2023- Present </w:t>
      </w:r>
      <w:r>
        <w:rPr>
          <w:rFonts w:eastAsia="Arial" w:cs="Arial"/>
          <w:color w:val="0E4194"/>
          <w:sz w:val="18"/>
          <w:szCs w:val="18"/>
        </w:rPr>
        <w:tab/>
      </w:r>
      <w:r>
        <w:rPr>
          <w:rFonts w:eastAsia="Arial" w:cs="Arial"/>
          <w:color w:val="0E4194"/>
          <w:sz w:val="18"/>
          <w:szCs w:val="18"/>
        </w:rPr>
        <w:tab/>
      </w:r>
      <w:r w:rsidRPr="00551BCB">
        <w:rPr>
          <w:rFonts w:eastAsia="Arial" w:cs="Arial"/>
          <w:color w:val="0E4194"/>
          <w:sz w:val="22"/>
          <w:szCs w:val="22"/>
        </w:rPr>
        <w:t>Visiting Professor</w:t>
      </w:r>
      <w:r w:rsidRPr="00551BCB">
        <w:rPr>
          <w:rFonts w:eastAsia="Arial" w:cs="Arial"/>
          <w:color w:val="0E4194"/>
          <w:sz w:val="22"/>
          <w:szCs w:val="22"/>
        </w:rPr>
        <w:tab/>
      </w:r>
    </w:p>
    <w:p w14:paraId="10D0CE0F" w14:textId="50199D58" w:rsidR="00551BCB" w:rsidRPr="00551BCB" w:rsidRDefault="00551BCB" w:rsidP="00551BCB">
      <w:pPr>
        <w:pBdr>
          <w:top w:val="nil"/>
          <w:left w:val="nil"/>
          <w:bottom w:val="nil"/>
          <w:right w:val="nil"/>
          <w:between w:val="nil"/>
        </w:pBdr>
        <w:spacing w:before="28" w:after="56" w:line="240" w:lineRule="auto"/>
        <w:ind w:leftChars="0" w:left="2160" w:firstLineChars="0" w:firstLine="720"/>
        <w:rPr>
          <w:rFonts w:eastAsia="Arial" w:cs="Arial"/>
          <w:sz w:val="18"/>
          <w:szCs w:val="18"/>
        </w:rPr>
      </w:pPr>
      <w:r w:rsidRPr="00551BCB">
        <w:rPr>
          <w:rFonts w:eastAsia="Arial" w:cs="Arial"/>
          <w:sz w:val="20"/>
          <w:szCs w:val="20"/>
        </w:rPr>
        <w:t>Thomas R. Kline School of Law, Duquesne University</w:t>
      </w:r>
    </w:p>
    <w:p w14:paraId="357DCB53" w14:textId="77777777" w:rsidR="00551BCB" w:rsidRPr="00A83863" w:rsidRDefault="00551BCB" w:rsidP="00551BCB">
      <w:pPr>
        <w:pBdr>
          <w:top w:val="nil"/>
          <w:left w:val="nil"/>
          <w:bottom w:val="nil"/>
          <w:right w:val="nil"/>
          <w:between w:val="nil"/>
        </w:pBdr>
        <w:spacing w:before="28" w:after="56" w:line="240" w:lineRule="auto"/>
        <w:ind w:leftChars="0" w:left="2880" w:firstLineChars="0" w:firstLine="0"/>
        <w:rPr>
          <w:rFonts w:eastAsia="Arial" w:cs="Arial"/>
          <w:sz w:val="18"/>
          <w:szCs w:val="18"/>
        </w:rPr>
      </w:pPr>
      <w:r w:rsidRPr="00551BCB">
        <w:rPr>
          <w:rFonts w:eastAsia="Arial" w:cs="Arial"/>
          <w:sz w:val="18"/>
          <w:szCs w:val="18"/>
        </w:rPr>
        <w:t>Teaching: Trade, Social Justice and Climate change</w:t>
      </w:r>
    </w:p>
    <w:p w14:paraId="4DD98704" w14:textId="477C56B8" w:rsidR="000A1F90" w:rsidRDefault="000A1F90" w:rsidP="00551B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Arial" w:cs="Arial"/>
          <w:szCs w:val="16"/>
        </w:rPr>
      </w:pPr>
      <w:r>
        <w:rPr>
          <w:rFonts w:eastAsia="Arial" w:cs="Arial"/>
          <w:szCs w:val="16"/>
        </w:rPr>
        <w:tab/>
      </w:r>
      <w:r>
        <w:rPr>
          <w:rFonts w:eastAsia="Arial" w:cs="Arial"/>
          <w:szCs w:val="16"/>
        </w:rPr>
        <w:tab/>
      </w:r>
    </w:p>
    <w:tbl>
      <w:tblPr>
        <w:tblStyle w:val="a1"/>
        <w:tblpPr w:topFromText="85" w:vertAnchor="text" w:tblpY="85"/>
        <w:tblW w:w="103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4"/>
        <w:gridCol w:w="7541"/>
      </w:tblGrid>
      <w:tr w:rsidR="00A96A8E" w14:paraId="6DC0458D" w14:textId="77777777">
        <w:trPr>
          <w:cantSplit/>
        </w:trPr>
        <w:tc>
          <w:tcPr>
            <w:tcW w:w="2834" w:type="dxa"/>
            <w:vMerge w:val="restart"/>
          </w:tcPr>
          <w:p w14:paraId="2D1D966C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right="283" w:hanging="2"/>
              <w:jc w:val="right"/>
              <w:textDirection w:val="lrTb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01/09/2011</w:t>
            </w:r>
            <w:r w:rsidR="000A1F90">
              <w:rPr>
                <w:rFonts w:eastAsia="Arial" w:cs="Arial"/>
                <w:color w:val="0E4194"/>
                <w:sz w:val="18"/>
                <w:szCs w:val="18"/>
              </w:rPr>
              <w:t>-01/09/2024</w:t>
            </w:r>
          </w:p>
        </w:tc>
        <w:tc>
          <w:tcPr>
            <w:tcW w:w="7541" w:type="dxa"/>
          </w:tcPr>
          <w:p w14:paraId="63206B46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color w:val="0E4194"/>
                <w:sz w:val="22"/>
                <w:szCs w:val="22"/>
              </w:rPr>
            </w:pPr>
            <w:r>
              <w:rPr>
                <w:rFonts w:eastAsia="Arial" w:cs="Arial"/>
                <w:color w:val="0E4194"/>
                <w:sz w:val="22"/>
                <w:szCs w:val="22"/>
              </w:rPr>
              <w:t>Professor of Law</w:t>
            </w:r>
          </w:p>
        </w:tc>
      </w:tr>
      <w:tr w:rsidR="00A96A8E" w14:paraId="3D08DC0E" w14:textId="77777777">
        <w:trPr>
          <w:cantSplit/>
        </w:trPr>
        <w:tc>
          <w:tcPr>
            <w:tcW w:w="2834" w:type="dxa"/>
            <w:vMerge/>
          </w:tcPr>
          <w:p w14:paraId="04392C5C" w14:textId="77777777" w:rsidR="00A96A8E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eastAsia="Arial" w:cs="Arial"/>
                <w:color w:val="0E4194"/>
                <w:sz w:val="22"/>
                <w:szCs w:val="22"/>
              </w:rPr>
            </w:pPr>
          </w:p>
        </w:tc>
        <w:tc>
          <w:tcPr>
            <w:tcW w:w="7541" w:type="dxa"/>
          </w:tcPr>
          <w:p w14:paraId="20677BE6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85" w:line="240" w:lineRule="auto"/>
              <w:ind w:left="0" w:hanging="2"/>
              <w:textDirection w:val="lrTb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La Sorbonne school of law - University Paris 1, Paris (France) </w:t>
            </w:r>
          </w:p>
        </w:tc>
      </w:tr>
      <w:tr w:rsidR="00A96A8E" w14:paraId="3AE4BCE3" w14:textId="77777777">
        <w:trPr>
          <w:cantSplit/>
        </w:trPr>
        <w:tc>
          <w:tcPr>
            <w:tcW w:w="2834" w:type="dxa"/>
            <w:vMerge/>
          </w:tcPr>
          <w:p w14:paraId="17EED317" w14:textId="77777777" w:rsidR="00A96A8E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7541" w:type="dxa"/>
          </w:tcPr>
          <w:p w14:paraId="4024D034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Teaching: EU Law, Comparative Law, European Labo</w:t>
            </w:r>
            <w:r w:rsidR="0026650C">
              <w:rPr>
                <w:rFonts w:eastAsia="Arial" w:cs="Arial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r Law, Free Trade &amp; Social Justice, Labo</w:t>
            </w:r>
            <w:r w:rsidR="0026650C">
              <w:rPr>
                <w:rFonts w:eastAsia="Arial" w:cs="Arial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r Law and the protection of fundamental rights, Anti-discrimination Law</w:t>
            </w:r>
          </w:p>
          <w:p w14:paraId="5F54333B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Director of the dual degree program in French &amp; US Law (Paris 1, Columbia, Cornell)</w:t>
            </w:r>
          </w:p>
          <w:p w14:paraId="3C3E3E31" w14:textId="77777777" w:rsidR="00A96A8E" w:rsidRDefault="00000000" w:rsidP="00A83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Director of the Anglo-American Business law Master program </w:t>
            </w:r>
          </w:p>
        </w:tc>
      </w:tr>
    </w:tbl>
    <w:p w14:paraId="742F1732" w14:textId="77777777" w:rsidR="00A96A8E" w:rsidRDefault="00A96A8E" w:rsidP="00A838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Arial" w:cs="Arial"/>
          <w:szCs w:val="16"/>
        </w:rPr>
      </w:pPr>
    </w:p>
    <w:tbl>
      <w:tblPr>
        <w:tblStyle w:val="a2"/>
        <w:tblpPr w:topFromText="85" w:vertAnchor="text" w:tblpY="85"/>
        <w:tblW w:w="103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4"/>
        <w:gridCol w:w="7541"/>
      </w:tblGrid>
      <w:tr w:rsidR="00A96A8E" w14:paraId="316EFB4A" w14:textId="77777777">
        <w:trPr>
          <w:cantSplit/>
        </w:trPr>
        <w:tc>
          <w:tcPr>
            <w:tcW w:w="2834" w:type="dxa"/>
            <w:vMerge w:val="restart"/>
          </w:tcPr>
          <w:p w14:paraId="4D99C4FC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right="283" w:hanging="2"/>
              <w:jc w:val="right"/>
              <w:textDirection w:val="lrTb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01/09/2004–01/09/2011</w:t>
            </w:r>
          </w:p>
        </w:tc>
        <w:tc>
          <w:tcPr>
            <w:tcW w:w="7541" w:type="dxa"/>
          </w:tcPr>
          <w:p w14:paraId="1F26E013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color w:val="0E4194"/>
                <w:sz w:val="22"/>
                <w:szCs w:val="22"/>
              </w:rPr>
            </w:pPr>
            <w:r>
              <w:rPr>
                <w:rFonts w:eastAsia="Arial" w:cs="Arial"/>
                <w:color w:val="0E4194"/>
                <w:sz w:val="22"/>
                <w:szCs w:val="22"/>
              </w:rPr>
              <w:t>Professor of Law</w:t>
            </w:r>
          </w:p>
        </w:tc>
      </w:tr>
      <w:tr w:rsidR="00A96A8E" w14:paraId="6648F9D8" w14:textId="77777777">
        <w:trPr>
          <w:cantSplit/>
        </w:trPr>
        <w:tc>
          <w:tcPr>
            <w:tcW w:w="2834" w:type="dxa"/>
            <w:vMerge/>
          </w:tcPr>
          <w:p w14:paraId="09AB1D2E" w14:textId="77777777" w:rsidR="00A96A8E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eastAsia="Arial" w:cs="Arial"/>
                <w:color w:val="0E4194"/>
                <w:sz w:val="22"/>
                <w:szCs w:val="22"/>
              </w:rPr>
            </w:pPr>
          </w:p>
        </w:tc>
        <w:tc>
          <w:tcPr>
            <w:tcW w:w="7541" w:type="dxa"/>
          </w:tcPr>
          <w:p w14:paraId="048B1248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85" w:line="240" w:lineRule="auto"/>
              <w:ind w:left="0" w:hanging="2"/>
              <w:textDirection w:val="lrTb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University Nanterre-La Défense - School of law, Nanterre (France) </w:t>
            </w:r>
          </w:p>
        </w:tc>
      </w:tr>
      <w:tr w:rsidR="00A96A8E" w14:paraId="17684AA6" w14:textId="77777777">
        <w:trPr>
          <w:cantSplit/>
        </w:trPr>
        <w:tc>
          <w:tcPr>
            <w:tcW w:w="2834" w:type="dxa"/>
            <w:vMerge/>
          </w:tcPr>
          <w:p w14:paraId="18A5BB52" w14:textId="77777777" w:rsidR="00A96A8E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7541" w:type="dxa"/>
          </w:tcPr>
          <w:p w14:paraId="29100930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Professor of Law</w:t>
            </w:r>
          </w:p>
          <w:p w14:paraId="673D4C74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Teaching: European Union Law, Equality Law, Comparative Law, Free Trade and Social Justice, Law and Globalization</w:t>
            </w:r>
          </w:p>
          <w:p w14:paraId="35AAEC10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Co-Director of the </w:t>
            </w:r>
            <w:proofErr w:type="spellStart"/>
            <w:r>
              <w:rPr>
                <w:rFonts w:eastAsia="Arial" w:cs="Arial"/>
                <w:sz w:val="18"/>
                <w:szCs w:val="18"/>
              </w:rPr>
              <w:t>Center</w:t>
            </w:r>
            <w:proofErr w:type="spellEnd"/>
            <w:r>
              <w:rPr>
                <w:rFonts w:eastAsia="Arial" w:cs="Arial"/>
                <w:sz w:val="18"/>
                <w:szCs w:val="18"/>
              </w:rPr>
              <w:t> for European and Comparative Legal Studies (CEJEC) </w:t>
            </w:r>
          </w:p>
          <w:p w14:paraId="792EE731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Co-Director of the Master Program on “The Laws of Europe” </w:t>
            </w:r>
          </w:p>
        </w:tc>
      </w:tr>
    </w:tbl>
    <w:p w14:paraId="170481EC" w14:textId="77777777" w:rsidR="00A96A8E" w:rsidRDefault="00A96A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p w14:paraId="22F8F661" w14:textId="6BA201B4" w:rsidR="005F6C31" w:rsidRDefault="005F6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  <w:r>
        <w:rPr>
          <w:rFonts w:eastAsia="Arial" w:cs="Arial"/>
          <w:szCs w:val="16"/>
        </w:rPr>
        <w:tab/>
      </w:r>
      <w:r>
        <w:rPr>
          <w:rFonts w:eastAsia="Arial" w:cs="Arial"/>
          <w:szCs w:val="16"/>
        </w:rPr>
        <w:tab/>
      </w:r>
      <w:r>
        <w:rPr>
          <w:rFonts w:eastAsia="Arial" w:cs="Arial"/>
          <w:szCs w:val="16"/>
        </w:rPr>
        <w:tab/>
        <w:t xml:space="preserve">   </w:t>
      </w:r>
      <w:r w:rsidRPr="005F6C31">
        <w:rPr>
          <w:rFonts w:eastAsia="Arial" w:cs="Arial"/>
          <w:color w:val="0E4194"/>
          <w:sz w:val="18"/>
          <w:szCs w:val="18"/>
        </w:rPr>
        <w:t>2023</w:t>
      </w:r>
      <w:r w:rsidR="00051735">
        <w:rPr>
          <w:rFonts w:eastAsia="Arial" w:cs="Arial"/>
          <w:color w:val="0E4194"/>
          <w:sz w:val="18"/>
          <w:szCs w:val="18"/>
        </w:rPr>
        <w:t>-</w:t>
      </w:r>
      <w:r>
        <w:rPr>
          <w:rFonts w:eastAsia="Arial" w:cs="Arial"/>
          <w:color w:val="0E4194"/>
          <w:sz w:val="18"/>
          <w:szCs w:val="18"/>
        </w:rPr>
        <w:t>Present</w:t>
      </w:r>
      <w:r>
        <w:rPr>
          <w:rFonts w:eastAsia="Arial" w:cs="Arial"/>
          <w:color w:val="0E4194"/>
          <w:sz w:val="18"/>
          <w:szCs w:val="18"/>
        </w:rPr>
        <w:tab/>
      </w:r>
      <w:r w:rsidRPr="005F6C31">
        <w:rPr>
          <w:rFonts w:eastAsia="Arial" w:cs="Arial"/>
          <w:color w:val="0E4194"/>
          <w:sz w:val="22"/>
          <w:szCs w:val="22"/>
        </w:rPr>
        <w:t>Member of the Scientific Advisory Board of the Max-Planck</w:t>
      </w:r>
      <w:r>
        <w:rPr>
          <w:rFonts w:eastAsia="Arial" w:cs="Arial"/>
          <w:color w:val="0E4194"/>
          <w:sz w:val="22"/>
          <w:szCs w:val="22"/>
        </w:rPr>
        <w:t xml:space="preserve"> Institute for Social </w:t>
      </w:r>
    </w:p>
    <w:p w14:paraId="4410B131" w14:textId="69DD33F2" w:rsidR="00A96A8E" w:rsidRDefault="005F6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E4194"/>
          <w:sz w:val="22"/>
          <w:szCs w:val="22"/>
        </w:rPr>
      </w:pPr>
      <w:r>
        <w:rPr>
          <w:rFonts w:eastAsia="Arial" w:cs="Arial"/>
          <w:szCs w:val="16"/>
        </w:rPr>
        <w:tab/>
      </w:r>
      <w:r>
        <w:rPr>
          <w:rFonts w:eastAsia="Arial" w:cs="Arial"/>
          <w:szCs w:val="16"/>
        </w:rPr>
        <w:tab/>
      </w:r>
      <w:r>
        <w:rPr>
          <w:rFonts w:eastAsia="Arial" w:cs="Arial"/>
          <w:szCs w:val="16"/>
        </w:rPr>
        <w:tab/>
      </w:r>
      <w:r>
        <w:rPr>
          <w:rFonts w:eastAsia="Arial" w:cs="Arial"/>
          <w:szCs w:val="16"/>
        </w:rPr>
        <w:tab/>
      </w:r>
      <w:r>
        <w:rPr>
          <w:rFonts w:eastAsia="Arial" w:cs="Arial"/>
          <w:szCs w:val="16"/>
        </w:rPr>
        <w:tab/>
      </w:r>
      <w:r>
        <w:rPr>
          <w:rFonts w:eastAsia="Arial" w:cs="Arial"/>
          <w:color w:val="0E4194"/>
          <w:sz w:val="22"/>
          <w:szCs w:val="22"/>
        </w:rPr>
        <w:t>Law and Social Policy</w:t>
      </w:r>
    </w:p>
    <w:p w14:paraId="661EC4BF" w14:textId="456EBA90" w:rsidR="00051735" w:rsidRDefault="000517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E4194"/>
          <w:sz w:val="22"/>
          <w:szCs w:val="22"/>
        </w:rPr>
      </w:pPr>
    </w:p>
    <w:p w14:paraId="43F804B9" w14:textId="0981D766" w:rsidR="00051735" w:rsidRDefault="000517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color w:val="0E4194"/>
          <w:sz w:val="22"/>
          <w:szCs w:val="22"/>
        </w:rPr>
      </w:pPr>
      <w:r w:rsidRPr="00051735">
        <w:rPr>
          <w:rFonts w:eastAsia="Arial" w:cs="Arial"/>
          <w:szCs w:val="16"/>
        </w:rPr>
        <w:tab/>
      </w:r>
      <w:r w:rsidRPr="00051735">
        <w:rPr>
          <w:rFonts w:eastAsia="Arial" w:cs="Arial"/>
          <w:szCs w:val="16"/>
        </w:rPr>
        <w:tab/>
      </w:r>
      <w:r w:rsidRPr="00051735">
        <w:rPr>
          <w:rFonts w:eastAsia="Arial" w:cs="Arial"/>
          <w:szCs w:val="16"/>
        </w:rPr>
        <w:tab/>
        <w:t xml:space="preserve"> </w:t>
      </w:r>
      <w:r>
        <w:rPr>
          <w:rFonts w:eastAsia="Arial" w:cs="Arial"/>
          <w:szCs w:val="16"/>
        </w:rPr>
        <w:t xml:space="preserve">  </w:t>
      </w:r>
      <w:r w:rsidRPr="00051735">
        <w:rPr>
          <w:rFonts w:eastAsia="Arial" w:cs="Arial"/>
          <w:color w:val="0E4194"/>
          <w:sz w:val="18"/>
          <w:szCs w:val="18"/>
        </w:rPr>
        <w:t>2013-Present</w:t>
      </w:r>
      <w:r>
        <w:rPr>
          <w:rFonts w:eastAsia="Arial" w:cs="Arial"/>
          <w:color w:val="0E4194"/>
          <w:sz w:val="18"/>
          <w:szCs w:val="18"/>
        </w:rPr>
        <w:tab/>
      </w:r>
      <w:r>
        <w:rPr>
          <w:rFonts w:eastAsia="Arial" w:cs="Arial"/>
          <w:color w:val="0E4194"/>
          <w:sz w:val="22"/>
          <w:szCs w:val="22"/>
        </w:rPr>
        <w:t>Expert for the European Commission - Free movement of workers</w:t>
      </w:r>
    </w:p>
    <w:p w14:paraId="55312398" w14:textId="38C75050" w:rsidR="00051735" w:rsidRPr="00051735" w:rsidRDefault="00051735" w:rsidP="000517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79" w:firstLineChars="0" w:firstLine="0"/>
        <w:rPr>
          <w:rFonts w:eastAsia="Arial" w:cs="Arial"/>
          <w:color w:val="0E4194"/>
          <w:sz w:val="18"/>
          <w:szCs w:val="18"/>
        </w:rPr>
      </w:pPr>
      <w:r>
        <w:rPr>
          <w:rFonts w:eastAsia="Arial" w:cs="Arial"/>
          <w:sz w:val="18"/>
          <w:szCs w:val="18"/>
        </w:rPr>
        <w:t xml:space="preserve">Member of </w:t>
      </w:r>
      <w:proofErr w:type="spellStart"/>
      <w:r w:rsidRPr="00051735">
        <w:rPr>
          <w:rFonts w:eastAsia="Arial" w:cs="Arial"/>
          <w:b/>
          <w:bCs/>
          <w:sz w:val="18"/>
          <w:szCs w:val="18"/>
        </w:rPr>
        <w:t>MoveS</w:t>
      </w:r>
      <w:proofErr w:type="spellEnd"/>
      <w:r>
        <w:rPr>
          <w:rFonts w:eastAsia="Arial" w:cs="Arial"/>
          <w:sz w:val="18"/>
          <w:szCs w:val="18"/>
        </w:rPr>
        <w:t xml:space="preserve">, the expert network on Free Movement of Workers and Social Security Coordination appointed by the European Commission (former </w:t>
      </w:r>
      <w:proofErr w:type="spellStart"/>
      <w:r>
        <w:rPr>
          <w:rFonts w:eastAsia="Arial" w:cs="Arial"/>
          <w:sz w:val="18"/>
          <w:szCs w:val="18"/>
        </w:rPr>
        <w:t>FRESSCo</w:t>
      </w:r>
      <w:proofErr w:type="spellEnd"/>
      <w:r>
        <w:rPr>
          <w:rFonts w:eastAsia="Arial" w:cs="Arial"/>
          <w:sz w:val="18"/>
          <w:szCs w:val="18"/>
        </w:rPr>
        <w:t xml:space="preserve"> network)</w:t>
      </w:r>
    </w:p>
    <w:p w14:paraId="0A09C72D" w14:textId="77777777" w:rsidR="00051735" w:rsidRDefault="000517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4"/>
        <w:tblpPr w:topFromText="85" w:vertAnchor="text" w:tblpY="85"/>
        <w:tblW w:w="103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4"/>
        <w:gridCol w:w="7541"/>
      </w:tblGrid>
      <w:tr w:rsidR="00A96A8E" w14:paraId="696225CB" w14:textId="77777777">
        <w:trPr>
          <w:cantSplit/>
        </w:trPr>
        <w:tc>
          <w:tcPr>
            <w:tcW w:w="2834" w:type="dxa"/>
          </w:tcPr>
          <w:p w14:paraId="452438C2" w14:textId="3E985021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right="283" w:hanging="2"/>
              <w:jc w:val="right"/>
              <w:textDirection w:val="lrTb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2006</w:t>
            </w:r>
            <w:r w:rsidR="00051735">
              <w:rPr>
                <w:rFonts w:eastAsia="Arial" w:cs="Arial"/>
                <w:color w:val="0E4194"/>
                <w:sz w:val="18"/>
                <w:szCs w:val="18"/>
              </w:rPr>
              <w:t>-</w:t>
            </w:r>
            <w:r>
              <w:rPr>
                <w:rFonts w:eastAsia="Arial" w:cs="Arial"/>
                <w:color w:val="0E4194"/>
                <w:sz w:val="18"/>
                <w:szCs w:val="18"/>
              </w:rPr>
              <w:t>Present</w:t>
            </w:r>
          </w:p>
        </w:tc>
        <w:tc>
          <w:tcPr>
            <w:tcW w:w="7541" w:type="dxa"/>
          </w:tcPr>
          <w:p w14:paraId="19A23602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color w:val="0E4194"/>
                <w:sz w:val="22"/>
                <w:szCs w:val="22"/>
              </w:rPr>
            </w:pPr>
            <w:r>
              <w:rPr>
                <w:rFonts w:eastAsia="Arial" w:cs="Arial"/>
                <w:color w:val="0E4194"/>
                <w:sz w:val="22"/>
                <w:szCs w:val="22"/>
              </w:rPr>
              <w:t xml:space="preserve">Board Member </w:t>
            </w:r>
            <w:r w:rsidR="00C342CF">
              <w:rPr>
                <w:rFonts w:eastAsia="Arial" w:cs="Arial"/>
                <w:color w:val="0E4194"/>
                <w:sz w:val="22"/>
                <w:szCs w:val="22"/>
              </w:rPr>
              <w:t>–</w:t>
            </w:r>
            <w:r>
              <w:rPr>
                <w:rFonts w:eastAsia="Arial" w:cs="Arial"/>
                <w:color w:val="0E4194"/>
                <w:sz w:val="22"/>
                <w:szCs w:val="22"/>
              </w:rPr>
              <w:t xml:space="preserve"> Editor</w:t>
            </w:r>
          </w:p>
          <w:p w14:paraId="7EFEA1CC" w14:textId="77777777" w:rsidR="00C342CF" w:rsidRPr="00C342CF" w:rsidRDefault="00C342CF" w:rsidP="00C3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Chars="0" w:left="0" w:firstLineChars="0" w:firstLine="0"/>
              <w:textDirection w:val="lrTb"/>
              <w:rPr>
                <w:rFonts w:eastAsia="Arial" w:cs="Arial"/>
                <w:i/>
                <w:iCs/>
                <w:sz w:val="18"/>
                <w:szCs w:val="18"/>
              </w:rPr>
            </w:pPr>
            <w:r w:rsidRPr="00C342CF">
              <w:rPr>
                <w:rFonts w:eastAsia="Arial" w:cs="Arial"/>
                <w:i/>
                <w:iCs/>
                <w:sz w:val="18"/>
                <w:szCs w:val="18"/>
              </w:rPr>
              <w:t>Member of the Board of Law Journals specializing in Labour law and European Law: </w:t>
            </w:r>
          </w:p>
          <w:p w14:paraId="0991FC5C" w14:textId="77777777" w:rsidR="00C342CF" w:rsidRPr="000A1F90" w:rsidRDefault="00C342CF" w:rsidP="00C3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  <w:lang w:val="fr-FR"/>
              </w:rPr>
            </w:pPr>
            <w:r w:rsidRPr="000A1F90">
              <w:rPr>
                <w:rFonts w:eastAsia="Arial" w:cs="Arial"/>
                <w:sz w:val="18"/>
                <w:szCs w:val="18"/>
                <w:lang w:val="fr-FR"/>
              </w:rPr>
              <w:t>- Revue de droit du travail (</w:t>
            </w:r>
            <w:proofErr w:type="spellStart"/>
            <w:r w:rsidRPr="000A1F90">
              <w:rPr>
                <w:rFonts w:eastAsia="Arial" w:cs="Arial"/>
                <w:sz w:val="18"/>
                <w:szCs w:val="18"/>
                <w:lang w:val="fr-FR"/>
              </w:rPr>
              <w:t>since</w:t>
            </w:r>
            <w:proofErr w:type="spellEnd"/>
            <w:r w:rsidRPr="000A1F90">
              <w:rPr>
                <w:rFonts w:eastAsia="Arial" w:cs="Arial"/>
                <w:sz w:val="18"/>
                <w:szCs w:val="18"/>
                <w:lang w:val="fr-FR"/>
              </w:rPr>
              <w:t xml:space="preserve"> 2006)</w:t>
            </w:r>
          </w:p>
          <w:p w14:paraId="408B029B" w14:textId="77777777" w:rsidR="00C342CF" w:rsidRPr="000A1F90" w:rsidRDefault="00C342CF" w:rsidP="00C3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  <w:lang w:val="fr-FR"/>
              </w:rPr>
            </w:pPr>
            <w:r w:rsidRPr="000A1F90">
              <w:rPr>
                <w:rFonts w:eastAsia="Arial" w:cs="Arial"/>
                <w:sz w:val="18"/>
                <w:szCs w:val="18"/>
                <w:lang w:val="fr-FR"/>
              </w:rPr>
              <w:t>- Revue trimestrielle de droit européen (</w:t>
            </w:r>
            <w:proofErr w:type="spellStart"/>
            <w:r w:rsidRPr="000A1F90">
              <w:rPr>
                <w:rFonts w:eastAsia="Arial" w:cs="Arial"/>
                <w:sz w:val="18"/>
                <w:szCs w:val="18"/>
                <w:lang w:val="fr-FR"/>
              </w:rPr>
              <w:t>since</w:t>
            </w:r>
            <w:proofErr w:type="spellEnd"/>
            <w:r w:rsidRPr="000A1F90">
              <w:rPr>
                <w:rFonts w:eastAsia="Arial" w:cs="Arial"/>
                <w:sz w:val="18"/>
                <w:szCs w:val="18"/>
                <w:lang w:val="fr-FR"/>
              </w:rPr>
              <w:t xml:space="preserve"> 2015)</w:t>
            </w:r>
          </w:p>
          <w:p w14:paraId="2FEFBC17" w14:textId="77777777" w:rsidR="00C342CF" w:rsidRDefault="00C342CF" w:rsidP="00C3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- Droit social (since 2018)</w:t>
            </w:r>
          </w:p>
          <w:p w14:paraId="1B0F98A6" w14:textId="77777777" w:rsidR="00C342CF" w:rsidRPr="00C342CF" w:rsidRDefault="00C342CF" w:rsidP="00C3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rFonts w:eastAsia="Arial" w:cs="Arial"/>
                <w:i/>
                <w:iCs/>
                <w:sz w:val="18"/>
                <w:szCs w:val="18"/>
              </w:rPr>
            </w:pPr>
            <w:r w:rsidRPr="00C342CF">
              <w:rPr>
                <w:rFonts w:eastAsia="Arial" w:cs="Arial"/>
                <w:i/>
                <w:iCs/>
                <w:sz w:val="18"/>
                <w:szCs w:val="18"/>
              </w:rPr>
              <w:t>Director of the Chronicle in Comparative Labour law (Revue de droit du travail)</w:t>
            </w:r>
          </w:p>
          <w:p w14:paraId="405FC70F" w14:textId="77777777" w:rsidR="00C342CF" w:rsidRDefault="00C342CF" w:rsidP="00C3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rFonts w:eastAsia="Arial" w:cs="Arial"/>
                <w:i/>
                <w:iCs/>
                <w:sz w:val="20"/>
                <w:szCs w:val="20"/>
              </w:rPr>
            </w:pPr>
            <w:r w:rsidRPr="00C342CF">
              <w:rPr>
                <w:rFonts w:eastAsia="Arial" w:cs="Arial"/>
                <w:i/>
                <w:iCs/>
                <w:sz w:val="18"/>
                <w:szCs w:val="18"/>
              </w:rPr>
              <w:t>Member of the board of the European Labour Law Journal</w:t>
            </w:r>
            <w:r w:rsidRPr="00C342CF">
              <w:rPr>
                <w:rFonts w:eastAsia="Arial" w:cs="Arial"/>
                <w:i/>
                <w:iCs/>
                <w:sz w:val="20"/>
                <w:szCs w:val="20"/>
              </w:rPr>
              <w:t xml:space="preserve"> </w:t>
            </w:r>
          </w:p>
          <w:p w14:paraId="3564717A" w14:textId="77777777" w:rsidR="00C342CF" w:rsidRPr="00F529C9" w:rsidRDefault="00C342CF" w:rsidP="00F5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rFonts w:eastAsia="Arial" w:cs="Arial"/>
                <w:i/>
                <w:iCs/>
                <w:sz w:val="20"/>
                <w:szCs w:val="20"/>
              </w:rPr>
            </w:pPr>
            <w:r w:rsidRPr="00C342CF">
              <w:rPr>
                <w:rFonts w:eastAsia="Arial" w:cs="Arial"/>
                <w:i/>
                <w:iCs/>
                <w:sz w:val="18"/>
                <w:szCs w:val="18"/>
              </w:rPr>
              <w:t>Member of the board of the European Journal of Human Rights</w:t>
            </w:r>
          </w:p>
        </w:tc>
      </w:tr>
    </w:tbl>
    <w:p w14:paraId="5AEED06E" w14:textId="77777777" w:rsidR="00A96A8E" w:rsidRDefault="00A96A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6"/>
        <w:tblpPr w:topFromText="85" w:vertAnchor="text" w:tblpY="85"/>
        <w:tblW w:w="1791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4"/>
        <w:gridCol w:w="7541"/>
        <w:gridCol w:w="7541"/>
      </w:tblGrid>
      <w:tr w:rsidR="003D6AE0" w14:paraId="140DF862" w14:textId="77777777" w:rsidTr="003D6AE0">
        <w:trPr>
          <w:cantSplit/>
        </w:trPr>
        <w:tc>
          <w:tcPr>
            <w:tcW w:w="2834" w:type="dxa"/>
            <w:vMerge w:val="restart"/>
          </w:tcPr>
          <w:p w14:paraId="16BEEE6B" w14:textId="77777777" w:rsidR="003D6AE0" w:rsidRDefault="003D6AE0" w:rsidP="003D6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right="283" w:hanging="2"/>
              <w:jc w:val="right"/>
              <w:textDirection w:val="lrTb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2016–2021</w:t>
            </w:r>
          </w:p>
          <w:p w14:paraId="35CD4C46" w14:textId="77777777" w:rsidR="003D6AE0" w:rsidRDefault="003D6AE0" w:rsidP="003D6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right="283" w:hanging="2"/>
              <w:jc w:val="right"/>
              <w:textDirection w:val="lrTb"/>
              <w:rPr>
                <w:rFonts w:eastAsia="Arial" w:cs="Arial"/>
                <w:color w:val="0E4194"/>
                <w:sz w:val="18"/>
                <w:szCs w:val="18"/>
              </w:rPr>
            </w:pPr>
          </w:p>
          <w:p w14:paraId="1FF3E542" w14:textId="77777777" w:rsidR="003D6AE0" w:rsidRDefault="003D6AE0" w:rsidP="003D6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Chars="0" w:left="0" w:right="283" w:firstLineChars="0" w:firstLine="0"/>
              <w:textDirection w:val="lrTb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 xml:space="preserve">                                      2003–2009     </w:t>
            </w:r>
          </w:p>
        </w:tc>
        <w:tc>
          <w:tcPr>
            <w:tcW w:w="7541" w:type="dxa"/>
          </w:tcPr>
          <w:p w14:paraId="6AAEE7EB" w14:textId="77777777" w:rsidR="003D6AE0" w:rsidRDefault="003D6AE0" w:rsidP="003D6AE0">
            <w:pPr>
              <w:ind w:left="0" w:hanging="2"/>
              <w:textDirection w:val="lrTb"/>
              <w:rPr>
                <w:rFonts w:eastAsia="Arial" w:cs="Arial"/>
                <w:color w:val="0E4194"/>
                <w:sz w:val="22"/>
                <w:szCs w:val="22"/>
              </w:rPr>
            </w:pPr>
            <w:r w:rsidRPr="00757460">
              <w:rPr>
                <w:rFonts w:eastAsia="Arial" w:cs="Arial"/>
                <w:color w:val="0E4194"/>
                <w:sz w:val="22"/>
                <w:szCs w:val="22"/>
              </w:rPr>
              <w:t>Member of the Steering Committee of the Labour Law Research Network</w:t>
            </w:r>
          </w:p>
          <w:p w14:paraId="5304257F" w14:textId="77777777" w:rsidR="003D6AE0" w:rsidRDefault="003D6AE0" w:rsidP="003D6AE0">
            <w:pPr>
              <w:ind w:left="0" w:hanging="2"/>
              <w:textDirection w:val="lrTb"/>
              <w:rPr>
                <w:rFonts w:eastAsia="Arial" w:cs="Arial"/>
                <w:color w:val="0E4194"/>
                <w:sz w:val="22"/>
                <w:szCs w:val="22"/>
              </w:rPr>
            </w:pPr>
          </w:p>
          <w:p w14:paraId="611F4E07" w14:textId="77777777" w:rsidR="003D6AE0" w:rsidRDefault="003D6AE0" w:rsidP="003D6AE0">
            <w:pPr>
              <w:ind w:left="0" w:hanging="2"/>
              <w:textDirection w:val="lrTb"/>
            </w:pPr>
            <w:r>
              <w:rPr>
                <w:rFonts w:eastAsia="Arial" w:cs="Arial"/>
                <w:color w:val="0E4194"/>
                <w:sz w:val="22"/>
                <w:szCs w:val="22"/>
              </w:rPr>
              <w:t>Visiting Professor</w:t>
            </w:r>
          </w:p>
        </w:tc>
        <w:tc>
          <w:tcPr>
            <w:tcW w:w="7541" w:type="dxa"/>
          </w:tcPr>
          <w:p w14:paraId="09015B08" w14:textId="77777777" w:rsidR="003D6AE0" w:rsidRDefault="003D6AE0" w:rsidP="003D6AE0">
            <w:pPr>
              <w:ind w:leftChars="0" w:left="0" w:firstLineChars="0" w:firstLine="0"/>
              <w:textDirection w:val="lrTb"/>
            </w:pPr>
          </w:p>
        </w:tc>
      </w:tr>
      <w:tr w:rsidR="003D6AE0" w14:paraId="1758F6E2" w14:textId="77777777" w:rsidTr="003D6AE0">
        <w:trPr>
          <w:cantSplit/>
        </w:trPr>
        <w:tc>
          <w:tcPr>
            <w:tcW w:w="2834" w:type="dxa"/>
            <w:vMerge/>
          </w:tcPr>
          <w:p w14:paraId="76FE7D19" w14:textId="77777777" w:rsidR="003D6AE0" w:rsidRDefault="003D6AE0" w:rsidP="003D6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</w:pPr>
          </w:p>
        </w:tc>
        <w:tc>
          <w:tcPr>
            <w:tcW w:w="7541" w:type="dxa"/>
          </w:tcPr>
          <w:p w14:paraId="1C121C73" w14:textId="77777777" w:rsidR="003D6AE0" w:rsidRDefault="003D6AE0" w:rsidP="003D6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85" w:line="240" w:lineRule="auto"/>
              <w:ind w:left="0" w:hanging="2"/>
              <w:textDirection w:val="lrTb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Boston College Law school, Newton (United States) </w:t>
            </w:r>
          </w:p>
          <w:p w14:paraId="7DDA1EB2" w14:textId="77777777" w:rsidR="003D6AE0" w:rsidRPr="00A83863" w:rsidRDefault="003D6AE0" w:rsidP="00A83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85"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Teaching: European Labor and Employment law; European Union Law; European Union Law; The External Effects of European Law; Free movement, Fundamental Rights and Citizenship in Europe</w:t>
            </w:r>
          </w:p>
        </w:tc>
        <w:tc>
          <w:tcPr>
            <w:tcW w:w="7541" w:type="dxa"/>
          </w:tcPr>
          <w:p w14:paraId="33D89856" w14:textId="77777777" w:rsidR="003D6AE0" w:rsidRPr="001630F1" w:rsidRDefault="003D6AE0" w:rsidP="003D6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Chars="0" w:left="0" w:firstLineChars="0" w:firstLine="0"/>
              <w:textDirection w:val="lrTb"/>
              <w:rPr>
                <w:rFonts w:eastAsia="Arial" w:cs="Arial"/>
                <w:color w:val="0E4194"/>
                <w:sz w:val="22"/>
                <w:szCs w:val="22"/>
              </w:rPr>
            </w:pPr>
          </w:p>
        </w:tc>
      </w:tr>
    </w:tbl>
    <w:p w14:paraId="4B03F532" w14:textId="77777777" w:rsidR="00A96A8E" w:rsidRDefault="00A96A8E" w:rsidP="00BF2A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Arial" w:cs="Arial"/>
          <w:szCs w:val="16"/>
        </w:rPr>
      </w:pPr>
    </w:p>
    <w:tbl>
      <w:tblPr>
        <w:tblStyle w:val="TableNormal"/>
        <w:tblpPr w:topFromText="85" w:vertAnchor="text" w:tblpY="85"/>
        <w:tblW w:w="103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4"/>
        <w:gridCol w:w="7541"/>
      </w:tblGrid>
      <w:tr w:rsidR="001630F1" w14:paraId="018E8B34" w14:textId="77777777" w:rsidTr="00BF2A00">
        <w:tc>
          <w:tcPr>
            <w:tcW w:w="2834" w:type="dxa"/>
          </w:tcPr>
          <w:p w14:paraId="71E268BC" w14:textId="77777777" w:rsidR="001630F1" w:rsidRDefault="00A83863" w:rsidP="00A83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                                 </w:t>
            </w:r>
            <w:r w:rsidRPr="00A83863">
              <w:rPr>
                <w:rFonts w:eastAsia="Arial" w:cs="Arial"/>
                <w:color w:val="0E4194"/>
                <w:sz w:val="18"/>
                <w:szCs w:val="18"/>
              </w:rPr>
              <w:t>2007-2008</w:t>
            </w:r>
          </w:p>
        </w:tc>
        <w:tc>
          <w:tcPr>
            <w:tcW w:w="7541" w:type="dxa"/>
          </w:tcPr>
          <w:p w14:paraId="15D8F1E1" w14:textId="77777777" w:rsidR="00A83863" w:rsidRPr="00BC04C0" w:rsidRDefault="00A83863" w:rsidP="00A83863">
            <w:pPr>
              <w:pStyle w:val="ECVOrganisationDetails"/>
              <w:ind w:leftChars="0" w:left="0" w:firstLineChars="0" w:firstLine="0"/>
              <w:textDirection w:val="lrTb"/>
              <w:rPr>
                <w:rFonts w:eastAsia="SimSun" w:cs="Mangal"/>
                <w:color w:val="0E4194"/>
                <w:sz w:val="22"/>
                <w:szCs w:val="24"/>
                <w:lang w:val="fr-FR"/>
              </w:rPr>
            </w:pPr>
            <w:proofErr w:type="spellStart"/>
            <w:r w:rsidRPr="00A83863">
              <w:rPr>
                <w:rFonts w:eastAsia="SimSun" w:cs="Mangal"/>
                <w:color w:val="0E4194"/>
                <w:sz w:val="22"/>
                <w:szCs w:val="24"/>
                <w:lang w:val="fr-FR"/>
              </w:rPr>
              <w:t>Collaborator</w:t>
            </w:r>
            <w:proofErr w:type="spellEnd"/>
            <w:r w:rsidRPr="00BC04C0">
              <w:rPr>
                <w:rFonts w:eastAsia="SimSun" w:cs="Mangal"/>
                <w:color w:val="0E4194"/>
                <w:sz w:val="22"/>
                <w:szCs w:val="24"/>
                <w:lang w:val="fr-FR"/>
              </w:rPr>
              <w:t xml:space="preserve"> at the Haute Autorité pour la Lutte contre les Discriminations et pour l’</w:t>
            </w:r>
            <w:proofErr w:type="spellStart"/>
            <w:r w:rsidRPr="00BC04C0">
              <w:rPr>
                <w:rFonts w:eastAsia="SimSun" w:cs="Mangal"/>
                <w:color w:val="0E4194"/>
                <w:sz w:val="22"/>
                <w:szCs w:val="24"/>
                <w:lang w:val="fr-FR"/>
              </w:rPr>
              <w:t>Egalité</w:t>
            </w:r>
            <w:proofErr w:type="spellEnd"/>
            <w:r w:rsidRPr="00BC04C0">
              <w:rPr>
                <w:rFonts w:eastAsia="SimSun" w:cs="Mangal"/>
                <w:color w:val="0E4194"/>
                <w:sz w:val="22"/>
                <w:szCs w:val="24"/>
                <w:lang w:val="fr-FR"/>
              </w:rPr>
              <w:t xml:space="preserve"> (High </w:t>
            </w:r>
            <w:proofErr w:type="spellStart"/>
            <w:r w:rsidRPr="00BC04C0">
              <w:rPr>
                <w:rFonts w:eastAsia="SimSun" w:cs="Mangal"/>
                <w:color w:val="0E4194"/>
                <w:sz w:val="22"/>
                <w:szCs w:val="24"/>
                <w:lang w:val="fr-FR"/>
              </w:rPr>
              <w:t>Authority</w:t>
            </w:r>
            <w:proofErr w:type="spellEnd"/>
            <w:r w:rsidRPr="00BC04C0">
              <w:rPr>
                <w:rFonts w:eastAsia="SimSun" w:cs="Mangal"/>
                <w:color w:val="0E4194"/>
                <w:sz w:val="22"/>
                <w:szCs w:val="24"/>
                <w:lang w:val="fr-FR"/>
              </w:rPr>
              <w:t xml:space="preserve"> to combat discriminations</w:t>
            </w:r>
            <w:r>
              <w:rPr>
                <w:rFonts w:eastAsia="SimSun" w:cs="Mangal"/>
                <w:color w:val="0E4194"/>
                <w:sz w:val="22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eastAsia="SimSun" w:cs="Mangal"/>
                <w:color w:val="0E4194"/>
                <w:sz w:val="22"/>
                <w:szCs w:val="24"/>
                <w:lang w:val="fr-FR"/>
              </w:rPr>
              <w:t>now</w:t>
            </w:r>
            <w:proofErr w:type="spellEnd"/>
            <w:r>
              <w:rPr>
                <w:rFonts w:eastAsia="SimSun" w:cs="Mangal"/>
                <w:color w:val="0E4194"/>
                <w:sz w:val="22"/>
                <w:szCs w:val="24"/>
                <w:lang w:val="fr-FR"/>
              </w:rPr>
              <w:t xml:space="preserve"> Défenseur des droits)</w:t>
            </w:r>
            <w:r w:rsidRPr="00BC04C0">
              <w:rPr>
                <w:rFonts w:eastAsia="SimSun" w:cs="Mangal"/>
                <w:color w:val="0E4194"/>
                <w:sz w:val="22"/>
                <w:szCs w:val="24"/>
                <w:lang w:val="fr-FR"/>
              </w:rPr>
              <w:t xml:space="preserve"> </w:t>
            </w:r>
          </w:p>
          <w:p w14:paraId="3EC408B3" w14:textId="77777777" w:rsidR="006374AF" w:rsidRPr="00A83863" w:rsidRDefault="00A83863" w:rsidP="00A83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85"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 w:rsidRPr="00E748BD">
              <w:rPr>
                <w:sz w:val="18"/>
              </w:rPr>
              <w:t>Paris (France)</w:t>
            </w:r>
          </w:p>
        </w:tc>
      </w:tr>
    </w:tbl>
    <w:p w14:paraId="547F0B01" w14:textId="77777777" w:rsidR="00A96A8E" w:rsidRDefault="00A96A8E" w:rsidP="001630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Arial" w:cs="Arial"/>
          <w:szCs w:val="16"/>
        </w:rPr>
      </w:pPr>
    </w:p>
    <w:tbl>
      <w:tblPr>
        <w:tblStyle w:val="a8"/>
        <w:tblpPr w:topFromText="85" w:vertAnchor="text" w:tblpY="85"/>
        <w:tblW w:w="103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4"/>
        <w:gridCol w:w="7541"/>
      </w:tblGrid>
      <w:tr w:rsidR="00A96A8E" w14:paraId="490C6F8D" w14:textId="77777777">
        <w:trPr>
          <w:cantSplit/>
        </w:trPr>
        <w:tc>
          <w:tcPr>
            <w:tcW w:w="2834" w:type="dxa"/>
            <w:vMerge w:val="restart"/>
          </w:tcPr>
          <w:p w14:paraId="28D5F949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right="283" w:hanging="2"/>
              <w:jc w:val="right"/>
              <w:textDirection w:val="lrTb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2018–2022</w:t>
            </w:r>
          </w:p>
        </w:tc>
        <w:tc>
          <w:tcPr>
            <w:tcW w:w="7541" w:type="dxa"/>
          </w:tcPr>
          <w:p w14:paraId="33C9353F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color w:val="0E4194"/>
                <w:sz w:val="22"/>
                <w:szCs w:val="22"/>
              </w:rPr>
            </w:pPr>
            <w:r>
              <w:rPr>
                <w:rFonts w:eastAsia="Arial" w:cs="Arial"/>
                <w:color w:val="0E4194"/>
                <w:sz w:val="22"/>
                <w:szCs w:val="22"/>
              </w:rPr>
              <w:t>Co-President</w:t>
            </w:r>
          </w:p>
        </w:tc>
      </w:tr>
      <w:tr w:rsidR="00A96A8E" w14:paraId="57D0C4AD" w14:textId="77777777" w:rsidTr="00A83863">
        <w:trPr>
          <w:cantSplit/>
          <w:trHeight w:val="1018"/>
        </w:trPr>
        <w:tc>
          <w:tcPr>
            <w:tcW w:w="2834" w:type="dxa"/>
            <w:vMerge/>
          </w:tcPr>
          <w:p w14:paraId="7D2060DE" w14:textId="77777777" w:rsidR="00A96A8E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eastAsia="Arial" w:cs="Arial"/>
                <w:color w:val="0E4194"/>
                <w:sz w:val="22"/>
                <w:szCs w:val="22"/>
              </w:rPr>
            </w:pPr>
          </w:p>
        </w:tc>
        <w:tc>
          <w:tcPr>
            <w:tcW w:w="7541" w:type="dxa"/>
          </w:tcPr>
          <w:p w14:paraId="5E310D06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Trans Europe Expert</w:t>
            </w:r>
          </w:p>
          <w:p w14:paraId="1ACD7A12" w14:textId="77777777" w:rsidR="006374AF" w:rsidRDefault="00000000" w:rsidP="00A83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Organisation in charge of developing awareness on European Affairs and connecting French Expert in EU Law to European projects</w:t>
            </w:r>
          </w:p>
        </w:tc>
      </w:tr>
    </w:tbl>
    <w:p w14:paraId="7F160D44" w14:textId="77777777" w:rsidR="00A96A8E" w:rsidRDefault="00A96A8E" w:rsidP="00A838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Arial" w:cs="Arial"/>
          <w:szCs w:val="16"/>
        </w:rPr>
      </w:pPr>
    </w:p>
    <w:tbl>
      <w:tblPr>
        <w:tblStyle w:val="a9"/>
        <w:tblpPr w:topFromText="85" w:vertAnchor="text" w:tblpY="85"/>
        <w:tblW w:w="103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A96A8E" w14:paraId="0E781312" w14:textId="77777777">
        <w:trPr>
          <w:trHeight w:val="170"/>
        </w:trPr>
        <w:tc>
          <w:tcPr>
            <w:tcW w:w="2835" w:type="dxa"/>
          </w:tcPr>
          <w:p w14:paraId="0C07E38A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textDirection w:val="lrTb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EDUCATION AND TRAINING</w:t>
            </w:r>
          </w:p>
        </w:tc>
        <w:tc>
          <w:tcPr>
            <w:tcW w:w="7540" w:type="dxa"/>
          </w:tcPr>
          <w:p w14:paraId="25B0E619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textDirection w:val="lrTb"/>
              <w:rPr>
                <w:rFonts w:eastAsia="Arial" w:cs="Arial"/>
                <w:color w:val="402C24"/>
                <w:sz w:val="8"/>
                <w:szCs w:val="8"/>
              </w:rPr>
            </w:pPr>
            <w:r>
              <w:rPr>
                <w:rFonts w:eastAsia="Arial" w:cs="Arial"/>
                <w:noProof/>
                <w:color w:val="402C24"/>
                <w:sz w:val="8"/>
                <w:szCs w:val="8"/>
              </w:rPr>
              <w:drawing>
                <wp:inline distT="0" distB="0" distL="114300" distR="114300" wp14:anchorId="496FE4D6" wp14:editId="64AAC952">
                  <wp:extent cx="4789170" cy="88265"/>
                  <wp:effectExtent l="0" t="0" r="0" b="0"/>
                  <wp:docPr id="102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882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color w:val="402C24"/>
                <w:sz w:val="8"/>
                <w:szCs w:val="8"/>
              </w:rPr>
              <w:t xml:space="preserve"> </w:t>
            </w:r>
          </w:p>
        </w:tc>
      </w:tr>
    </w:tbl>
    <w:p w14:paraId="2F803FAE" w14:textId="77777777" w:rsidR="00A96A8E" w:rsidRDefault="00A96A8E" w:rsidP="00A838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Arial" w:cs="Arial"/>
          <w:szCs w:val="16"/>
        </w:rPr>
      </w:pPr>
    </w:p>
    <w:tbl>
      <w:tblPr>
        <w:tblStyle w:val="aa"/>
        <w:tblpPr w:topFromText="85" w:vertAnchor="text" w:tblpY="85"/>
        <w:tblW w:w="1037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A96A8E" w14:paraId="6DBA0B48" w14:textId="77777777">
        <w:trPr>
          <w:cantSplit/>
        </w:trPr>
        <w:tc>
          <w:tcPr>
            <w:tcW w:w="2834" w:type="dxa"/>
            <w:vMerge w:val="restart"/>
          </w:tcPr>
          <w:p w14:paraId="6617BB25" w14:textId="77777777" w:rsidR="00A96A8E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right="283" w:hanging="2"/>
              <w:jc w:val="right"/>
              <w:textDirection w:val="lrTb"/>
              <w:rPr>
                <w:rFonts w:eastAsia="Arial" w:cs="Arial"/>
                <w:color w:val="0E4194"/>
                <w:sz w:val="18"/>
                <w:szCs w:val="18"/>
              </w:rPr>
            </w:pPr>
          </w:p>
        </w:tc>
        <w:tc>
          <w:tcPr>
            <w:tcW w:w="6237" w:type="dxa"/>
          </w:tcPr>
          <w:p w14:paraId="3773587A" w14:textId="77777777" w:rsidR="00A96A8E" w:rsidRDefault="00A96A8E" w:rsidP="00A83863">
            <w:pPr>
              <w:ind w:leftChars="0" w:left="0" w:firstLineChars="0" w:firstLine="0"/>
              <w:textDirection w:val="lrTb"/>
            </w:pPr>
          </w:p>
        </w:tc>
        <w:tc>
          <w:tcPr>
            <w:tcW w:w="1305" w:type="dxa"/>
          </w:tcPr>
          <w:p w14:paraId="5F161896" w14:textId="77777777" w:rsidR="00A96A8E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40" w:lineRule="auto"/>
              <w:jc w:val="right"/>
              <w:textDirection w:val="lrTb"/>
              <w:rPr>
                <w:rFonts w:eastAsia="Arial" w:cs="Arial"/>
                <w:color w:val="1593CB"/>
                <w:sz w:val="15"/>
                <w:szCs w:val="15"/>
              </w:rPr>
            </w:pPr>
          </w:p>
        </w:tc>
      </w:tr>
      <w:tr w:rsidR="00A96A8E" w14:paraId="77B06356" w14:textId="77777777">
        <w:trPr>
          <w:cantSplit/>
        </w:trPr>
        <w:tc>
          <w:tcPr>
            <w:tcW w:w="2834" w:type="dxa"/>
            <w:vMerge/>
          </w:tcPr>
          <w:p w14:paraId="154FAC5D" w14:textId="77777777" w:rsidR="00A96A8E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textDirection w:val="lrTb"/>
              <w:rPr>
                <w:rFonts w:eastAsia="Arial" w:cs="Arial"/>
                <w:color w:val="1593CB"/>
                <w:sz w:val="15"/>
                <w:szCs w:val="15"/>
              </w:rPr>
            </w:pPr>
          </w:p>
        </w:tc>
        <w:tc>
          <w:tcPr>
            <w:tcW w:w="7542" w:type="dxa"/>
            <w:gridSpan w:val="2"/>
          </w:tcPr>
          <w:p w14:paraId="2C943225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Agrégation de droit </w:t>
            </w:r>
            <w:proofErr w:type="spellStart"/>
            <w:r>
              <w:rPr>
                <w:rFonts w:eastAsia="Arial" w:cs="Arial"/>
                <w:sz w:val="18"/>
                <w:szCs w:val="18"/>
              </w:rPr>
              <w:t>privé</w:t>
            </w:r>
            <w:proofErr w:type="spellEnd"/>
            <w:r>
              <w:rPr>
                <w:rFonts w:eastAsia="Arial" w:cs="Arial"/>
                <w:sz w:val="18"/>
                <w:szCs w:val="18"/>
              </w:rPr>
              <w:t> - French highest academic distinction in Law (2001) </w:t>
            </w:r>
          </w:p>
          <w:p w14:paraId="4C547E6C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 </w:t>
            </w:r>
          </w:p>
          <w:p w14:paraId="6082CBED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  <w:lang w:val="en-US"/>
              </w:rPr>
            </w:pPr>
            <w:r w:rsidRPr="000A1024">
              <w:rPr>
                <w:rFonts w:eastAsia="Arial" w:cs="Arial"/>
                <w:sz w:val="18"/>
                <w:szCs w:val="18"/>
                <w:lang w:val="en-US"/>
              </w:rPr>
              <w:t>PhD, University Aix-Marseille, cum laude (1998) </w:t>
            </w:r>
          </w:p>
          <w:p w14:paraId="14D62302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  <w:lang w:val="en-US"/>
              </w:rPr>
            </w:pPr>
            <w:r w:rsidRPr="000A1024">
              <w:rPr>
                <w:rFonts w:eastAsia="Arial" w:cs="Arial"/>
                <w:sz w:val="18"/>
                <w:szCs w:val="18"/>
                <w:lang w:val="en-US"/>
              </w:rPr>
              <w:t> </w:t>
            </w:r>
          </w:p>
          <w:p w14:paraId="7609CA62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Master in economic and social law, University of Paris IX-Dauphine (1992) </w:t>
            </w:r>
          </w:p>
          <w:p w14:paraId="70A5F674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 </w:t>
            </w:r>
          </w:p>
          <w:p w14:paraId="29ECACDD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HEC (Hautes Etudes </w:t>
            </w:r>
            <w:proofErr w:type="spellStart"/>
            <w:r>
              <w:rPr>
                <w:rFonts w:eastAsia="Arial" w:cs="Arial"/>
                <w:sz w:val="18"/>
                <w:szCs w:val="18"/>
              </w:rPr>
              <w:t>Commerciales</w:t>
            </w:r>
            <w:proofErr w:type="spellEnd"/>
            <w:r>
              <w:rPr>
                <w:rFonts w:eastAsia="Arial" w:cs="Arial"/>
                <w:sz w:val="18"/>
                <w:szCs w:val="18"/>
              </w:rPr>
              <w:t>), top French graduate business school (French MBA) - Graduation in 1991</w:t>
            </w:r>
          </w:p>
        </w:tc>
      </w:tr>
    </w:tbl>
    <w:p w14:paraId="44DFDE44" w14:textId="77777777" w:rsidR="00A96A8E" w:rsidRDefault="00A96A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b"/>
        <w:tblpPr w:topFromText="85" w:vertAnchor="text" w:tblpY="85"/>
        <w:tblW w:w="103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A96A8E" w14:paraId="79EC5DF2" w14:textId="77777777">
        <w:trPr>
          <w:trHeight w:val="170"/>
        </w:trPr>
        <w:tc>
          <w:tcPr>
            <w:tcW w:w="2835" w:type="dxa"/>
          </w:tcPr>
          <w:p w14:paraId="5B5EB2A4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textDirection w:val="lrTb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PERSONAL SKILLS</w:t>
            </w:r>
          </w:p>
        </w:tc>
        <w:tc>
          <w:tcPr>
            <w:tcW w:w="7540" w:type="dxa"/>
          </w:tcPr>
          <w:p w14:paraId="5AF8128C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textDirection w:val="lrTb"/>
              <w:rPr>
                <w:rFonts w:eastAsia="Arial" w:cs="Arial"/>
                <w:color w:val="402C24"/>
                <w:sz w:val="8"/>
                <w:szCs w:val="8"/>
              </w:rPr>
            </w:pPr>
            <w:r>
              <w:rPr>
                <w:rFonts w:eastAsia="Arial" w:cs="Arial"/>
                <w:noProof/>
                <w:color w:val="402C24"/>
                <w:sz w:val="8"/>
                <w:szCs w:val="8"/>
              </w:rPr>
              <w:drawing>
                <wp:inline distT="0" distB="0" distL="114300" distR="114300" wp14:anchorId="06FA37FE" wp14:editId="4842BFA6">
                  <wp:extent cx="4789170" cy="88265"/>
                  <wp:effectExtent l="0" t="0" r="0" b="0"/>
                  <wp:docPr id="103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882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color w:val="402C24"/>
                <w:sz w:val="8"/>
                <w:szCs w:val="8"/>
              </w:rPr>
              <w:t xml:space="preserve"> </w:t>
            </w:r>
          </w:p>
        </w:tc>
      </w:tr>
    </w:tbl>
    <w:p w14:paraId="7BDD0BFD" w14:textId="77777777" w:rsidR="00A96A8E" w:rsidRDefault="00A96A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c"/>
        <w:tblpPr w:topFromText="85" w:vertAnchor="text" w:tblpY="85"/>
        <w:tblW w:w="1037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A96A8E" w14:paraId="7A021A03" w14:textId="77777777">
        <w:trPr>
          <w:trHeight w:val="255"/>
        </w:trPr>
        <w:tc>
          <w:tcPr>
            <w:tcW w:w="2834" w:type="dxa"/>
          </w:tcPr>
          <w:p w14:paraId="6A21EB82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textDirection w:val="lrTb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Mother tongue(s)</w:t>
            </w:r>
          </w:p>
        </w:tc>
        <w:tc>
          <w:tcPr>
            <w:tcW w:w="7542" w:type="dxa"/>
            <w:gridSpan w:val="5"/>
          </w:tcPr>
          <w:p w14:paraId="3254CB25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French</w:t>
            </w:r>
          </w:p>
        </w:tc>
      </w:tr>
      <w:tr w:rsidR="00A96A8E" w14:paraId="68142519" w14:textId="77777777">
        <w:trPr>
          <w:trHeight w:val="340"/>
        </w:trPr>
        <w:tc>
          <w:tcPr>
            <w:tcW w:w="2834" w:type="dxa"/>
          </w:tcPr>
          <w:p w14:paraId="3DACE18C" w14:textId="77777777" w:rsidR="00A96A8E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textDirection w:val="lrTb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</w:p>
        </w:tc>
        <w:tc>
          <w:tcPr>
            <w:tcW w:w="7542" w:type="dxa"/>
            <w:gridSpan w:val="5"/>
          </w:tcPr>
          <w:p w14:paraId="2C558676" w14:textId="77777777" w:rsidR="00A96A8E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40" w:lineRule="auto"/>
              <w:ind w:left="0" w:hanging="2"/>
              <w:textDirection w:val="lrTb"/>
              <w:rPr>
                <w:rFonts w:eastAsia="Arial" w:cs="Arial"/>
                <w:color w:val="404040"/>
                <w:szCs w:val="16"/>
              </w:rPr>
            </w:pPr>
          </w:p>
        </w:tc>
      </w:tr>
      <w:tr w:rsidR="00A96A8E" w14:paraId="3E661B8F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67E00DD1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textDirection w:val="lrTb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Foreign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197EEDAF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rFonts w:eastAsia="Arial" w:cs="Arial"/>
                <w:color w:val="0E4194"/>
                <w:sz w:val="14"/>
                <w:szCs w:val="14"/>
              </w:rPr>
            </w:pPr>
            <w:r>
              <w:rPr>
                <w:rFonts w:eastAsia="Arial" w:cs="Arial"/>
                <w:color w:val="0E4194"/>
                <w:sz w:val="14"/>
                <w:szCs w:val="14"/>
              </w:rPr>
              <w:t>UNDERSTANDING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3571157C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rFonts w:eastAsia="Arial" w:cs="Arial"/>
                <w:color w:val="0E4194"/>
                <w:sz w:val="14"/>
                <w:szCs w:val="14"/>
              </w:rPr>
            </w:pPr>
            <w:r>
              <w:rPr>
                <w:rFonts w:eastAsia="Arial" w:cs="Arial"/>
                <w:color w:val="0E4194"/>
                <w:sz w:val="14"/>
                <w:szCs w:val="14"/>
              </w:rPr>
              <w:t>SPEAKING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4E5217C1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rFonts w:eastAsia="Arial" w:cs="Arial"/>
                <w:smallCaps/>
                <w:color w:val="0E4194"/>
                <w:sz w:val="14"/>
                <w:szCs w:val="14"/>
              </w:rPr>
            </w:pPr>
            <w:r>
              <w:rPr>
                <w:rFonts w:eastAsia="Arial" w:cs="Arial"/>
                <w:color w:val="0E4194"/>
                <w:sz w:val="14"/>
                <w:szCs w:val="14"/>
              </w:rPr>
              <w:t>WRITING</w:t>
            </w:r>
          </w:p>
        </w:tc>
      </w:tr>
      <w:tr w:rsidR="00A96A8E" w14:paraId="74B46253" w14:textId="77777777">
        <w:trPr>
          <w:cantSplit/>
          <w:trHeight w:val="340"/>
        </w:trPr>
        <w:tc>
          <w:tcPr>
            <w:tcW w:w="2834" w:type="dxa"/>
            <w:vMerge/>
          </w:tcPr>
          <w:p w14:paraId="6E3C0B9F" w14:textId="77777777" w:rsidR="00A96A8E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textDirection w:val="lrTb"/>
              <w:rPr>
                <w:rFonts w:eastAsia="Arial" w:cs="Arial"/>
                <w:smallCaps/>
                <w:color w:val="0E4194"/>
                <w:sz w:val="14"/>
                <w:szCs w:val="14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1096C854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eastAsia="Arial" w:cs="Arial"/>
                <w:color w:val="0E4194"/>
                <w:szCs w:val="16"/>
              </w:rPr>
            </w:pPr>
            <w:r>
              <w:rPr>
                <w:rFonts w:eastAsia="Arial" w:cs="Arial"/>
                <w:color w:val="0E4194"/>
                <w:szCs w:val="16"/>
              </w:rPr>
              <w:t>Listening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38FF1D8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eastAsia="Arial" w:cs="Arial"/>
                <w:color w:val="0E4194"/>
                <w:szCs w:val="16"/>
              </w:rPr>
            </w:pPr>
            <w:r>
              <w:rPr>
                <w:rFonts w:eastAsia="Arial" w:cs="Arial"/>
                <w:color w:val="0E4194"/>
                <w:szCs w:val="16"/>
              </w:rPr>
              <w:t>Reading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443DAF34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eastAsia="Arial" w:cs="Arial"/>
                <w:color w:val="0E4194"/>
                <w:szCs w:val="16"/>
              </w:rPr>
            </w:pPr>
            <w:r>
              <w:rPr>
                <w:rFonts w:eastAsia="Arial" w:cs="Arial"/>
                <w:color w:val="0E4194"/>
                <w:szCs w:val="16"/>
              </w:rPr>
              <w:t>Spoken interaction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D773F87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eastAsia="Arial" w:cs="Arial"/>
                <w:color w:val="0E4194"/>
                <w:szCs w:val="16"/>
              </w:rPr>
            </w:pPr>
            <w:r>
              <w:rPr>
                <w:rFonts w:eastAsia="Arial" w:cs="Arial"/>
                <w:color w:val="0E4194"/>
                <w:szCs w:val="16"/>
              </w:rPr>
              <w:t>Spoken production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2CCC528" w14:textId="77777777" w:rsidR="00A96A8E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40" w:lineRule="auto"/>
              <w:ind w:left="0" w:hanging="2"/>
              <w:textDirection w:val="lrTb"/>
              <w:rPr>
                <w:rFonts w:eastAsia="Arial" w:cs="Arial"/>
                <w:color w:val="404040"/>
                <w:szCs w:val="16"/>
              </w:rPr>
            </w:pPr>
          </w:p>
        </w:tc>
      </w:tr>
      <w:tr w:rsidR="00A96A8E" w14:paraId="6FFFA46D" w14:textId="77777777">
        <w:trPr>
          <w:trHeight w:val="283"/>
        </w:trPr>
        <w:tc>
          <w:tcPr>
            <w:tcW w:w="2834" w:type="dxa"/>
            <w:vAlign w:val="center"/>
          </w:tcPr>
          <w:p w14:paraId="472CFF57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244C89BE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jc w:val="center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C2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274D0F66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jc w:val="center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C2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52547992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jc w:val="center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C2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0DC8B4C0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jc w:val="center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C2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67CAF400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jc w:val="center"/>
              <w:textDirection w:val="lrTb"/>
              <w:rPr>
                <w:rFonts w:eastAsia="Arial" w:cs="Arial"/>
                <w:smallCaps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C2</w:t>
            </w:r>
          </w:p>
        </w:tc>
      </w:tr>
      <w:tr w:rsidR="00A96A8E" w14:paraId="6DC33925" w14:textId="77777777">
        <w:trPr>
          <w:trHeight w:val="397"/>
        </w:trPr>
        <w:tc>
          <w:tcPr>
            <w:tcW w:w="2834" w:type="dxa"/>
          </w:tcPr>
          <w:p w14:paraId="3D53D02D" w14:textId="77777777" w:rsidR="00A96A8E" w:rsidRDefault="00A96A8E">
            <w:pPr>
              <w:ind w:left="0" w:hanging="2"/>
              <w:textDirection w:val="lrTb"/>
            </w:pPr>
          </w:p>
        </w:tc>
        <w:tc>
          <w:tcPr>
            <w:tcW w:w="7542" w:type="dxa"/>
            <w:gridSpan w:val="5"/>
          </w:tcPr>
          <w:p w14:paraId="53661B73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textDirection w:val="lrTb"/>
              <w:rPr>
                <w:rFonts w:eastAsia="Arial" w:cs="Arial"/>
                <w:color w:val="0E4194"/>
                <w:sz w:val="15"/>
                <w:szCs w:val="15"/>
              </w:rPr>
            </w:pPr>
            <w:r>
              <w:rPr>
                <w:rFonts w:eastAsia="Arial" w:cs="Arial"/>
                <w:color w:val="0E4194"/>
                <w:sz w:val="15"/>
                <w:szCs w:val="15"/>
              </w:rPr>
              <w:t>Levels: A1 and A2: Basic user - B1 and B2: Independent user - C1 and C2: Proficient user</w:t>
            </w:r>
          </w:p>
          <w:p w14:paraId="0F37E119" w14:textId="77777777" w:rsidR="00A96A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color w:val="0E4194"/>
                <w:sz w:val="15"/>
                <w:szCs w:val="15"/>
              </w:rPr>
            </w:pPr>
            <w:hyperlink r:id="rId12">
              <w:r>
                <w:rPr>
                  <w:rFonts w:eastAsia="Arial" w:cs="Arial"/>
                  <w:color w:val="000000"/>
                  <w:sz w:val="15"/>
                  <w:szCs w:val="15"/>
                  <w:u w:val="single"/>
                </w:rPr>
                <w:t>Common European Framework of Reference for Languages - Self-assessment grid</w:t>
              </w:r>
            </w:hyperlink>
            <w:r>
              <w:rPr>
                <w:rFonts w:eastAsia="Arial" w:cs="Arial"/>
                <w:color w:val="0E4194"/>
                <w:sz w:val="15"/>
                <w:szCs w:val="15"/>
              </w:rPr>
              <w:t xml:space="preserve"> </w:t>
            </w:r>
          </w:p>
        </w:tc>
      </w:tr>
    </w:tbl>
    <w:p w14:paraId="75744210" w14:textId="77777777" w:rsidR="00A96A8E" w:rsidRDefault="00A96A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p w14:paraId="0817694F" w14:textId="77777777" w:rsidR="00A96A8E" w:rsidRDefault="00A96A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d"/>
        <w:tblpPr w:topFromText="85" w:vertAnchor="text" w:tblpY="85"/>
        <w:tblW w:w="1037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A96A8E" w14:paraId="17A87058" w14:textId="77777777">
        <w:trPr>
          <w:trHeight w:val="170"/>
        </w:trPr>
        <w:tc>
          <w:tcPr>
            <w:tcW w:w="2834" w:type="dxa"/>
          </w:tcPr>
          <w:p w14:paraId="052FBB2B" w14:textId="77777777" w:rsidR="00A96A8E" w:rsidRPr="00A463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textDirection w:val="lrTb"/>
              <w:rPr>
                <w:sz w:val="18"/>
                <w:szCs w:val="18"/>
              </w:rPr>
            </w:pPr>
            <w:r w:rsidRPr="00BF2A00">
              <w:rPr>
                <w:rFonts w:eastAsia="Arial" w:cs="Arial"/>
                <w:color w:val="0E4194"/>
                <w:sz w:val="18"/>
                <w:szCs w:val="18"/>
              </w:rPr>
              <w:t>Job-related skills</w:t>
            </w:r>
          </w:p>
        </w:tc>
        <w:tc>
          <w:tcPr>
            <w:tcW w:w="7542" w:type="dxa"/>
          </w:tcPr>
          <w:p w14:paraId="132C0E55" w14:textId="77777777" w:rsidR="00BF2A00" w:rsidRDefault="00BF2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 xml:space="preserve">PUBLICATIONS </w:t>
            </w:r>
          </w:p>
          <w:p w14:paraId="1C2E7EB7" w14:textId="77777777" w:rsidR="00BF2A00" w:rsidRDefault="00BF2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rFonts w:eastAsia="Arial" w:cs="Arial"/>
                <w:color w:val="0E4194"/>
                <w:sz w:val="18"/>
                <w:szCs w:val="18"/>
              </w:rPr>
            </w:pPr>
          </w:p>
          <w:p w14:paraId="3EBFEFEC" w14:textId="77777777" w:rsidR="00A96A8E" w:rsidRPr="00BF2A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BF2A00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BOOKS </w:t>
            </w:r>
          </w:p>
          <w:p w14:paraId="64640879" w14:textId="77777777" w:rsidR="00A96A8E" w:rsidRPr="00A4631C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</w:rPr>
            </w:pPr>
          </w:p>
          <w:p w14:paraId="38A97EED" w14:textId="2D031A20" w:rsidR="000A1024" w:rsidRPr="00BA1B6C" w:rsidRDefault="00000000" w:rsidP="000A1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r w:rsidRPr="00BA1B6C">
              <w:rPr>
                <w:sz w:val="18"/>
                <w:szCs w:val="18"/>
              </w:rPr>
              <w:t xml:space="preserve">-  </w:t>
            </w:r>
            <w:r w:rsidR="000A1024" w:rsidRPr="00BA1B6C">
              <w:rPr>
                <w:sz w:val="18"/>
                <w:szCs w:val="18"/>
              </w:rPr>
              <w:t>Cours de droit international et européen, with E. Farnoux, C. Prieto and L. Rass-Masson, IEJ Jean Domat, 2024 (5th edition)</w:t>
            </w:r>
          </w:p>
          <w:p w14:paraId="49153218" w14:textId="77777777" w:rsidR="000A1024" w:rsidRPr="00BA1B6C" w:rsidRDefault="000A1024">
            <w:pPr>
              <w:ind w:left="0" w:hanging="2"/>
              <w:textDirection w:val="lrTb"/>
              <w:rPr>
                <w:sz w:val="18"/>
                <w:szCs w:val="18"/>
              </w:rPr>
            </w:pPr>
          </w:p>
          <w:p w14:paraId="6CA5FEB1" w14:textId="62257123" w:rsidR="00A96A8E" w:rsidRPr="000A1024" w:rsidRDefault="000A1024" w:rsidP="000A1024">
            <w:pPr>
              <w:ind w:leftChars="0" w:left="0" w:firstLineChars="0" w:hanging="2"/>
              <w:textDirection w:val="lrT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0A1024">
              <w:rPr>
                <w:sz w:val="18"/>
                <w:szCs w:val="18"/>
              </w:rPr>
              <w:t>European Social Union, General Report, The XXX Fide Congress in Sofia, Congress publications, 2023, vol. 3</w:t>
            </w:r>
          </w:p>
          <w:p w14:paraId="3728CC5B" w14:textId="77777777" w:rsidR="00A96A8E" w:rsidRPr="00A4631C" w:rsidRDefault="00A96A8E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</w:p>
          <w:p w14:paraId="333482DF" w14:textId="77777777" w:rsidR="00A4631C" w:rsidRPr="00A4631C" w:rsidRDefault="00000000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bookmarkStart w:id="0" w:name="_heading=h.gjdgxs" w:colFirst="0" w:colLast="0"/>
            <w:bookmarkEnd w:id="0"/>
            <w:r w:rsidRPr="00A4631C">
              <w:rPr>
                <w:sz w:val="18"/>
                <w:szCs w:val="18"/>
              </w:rPr>
              <w:t xml:space="preserve">- </w:t>
            </w:r>
            <w:r w:rsidR="00A4631C" w:rsidRPr="00A4631C">
              <w:rPr>
                <w:sz w:val="18"/>
                <w:szCs w:val="18"/>
              </w:rPr>
              <w:t>The Future of Labour Law</w:t>
            </w:r>
            <w:r w:rsidRPr="00A4631C">
              <w:rPr>
                <w:sz w:val="18"/>
                <w:szCs w:val="18"/>
              </w:rPr>
              <w:t xml:space="preserve">, </w:t>
            </w:r>
            <w:r w:rsidR="00A4631C" w:rsidRPr="00A4631C">
              <w:rPr>
                <w:sz w:val="18"/>
                <w:szCs w:val="18"/>
              </w:rPr>
              <w:t>with</w:t>
            </w:r>
            <w:r w:rsidRPr="00A4631C">
              <w:rPr>
                <w:sz w:val="18"/>
                <w:szCs w:val="18"/>
              </w:rPr>
              <w:t xml:space="preserve"> E. </w:t>
            </w:r>
            <w:proofErr w:type="spellStart"/>
            <w:r w:rsidRPr="00A4631C">
              <w:rPr>
                <w:sz w:val="18"/>
                <w:szCs w:val="18"/>
              </w:rPr>
              <w:t>Pataut</w:t>
            </w:r>
            <w:proofErr w:type="spellEnd"/>
            <w:r w:rsidRPr="00A4631C">
              <w:rPr>
                <w:sz w:val="18"/>
                <w:szCs w:val="18"/>
              </w:rPr>
              <w:t xml:space="preserve">, </w:t>
            </w:r>
            <w:r w:rsidR="00A4631C" w:rsidRPr="00A4631C">
              <w:rPr>
                <w:sz w:val="18"/>
                <w:szCs w:val="18"/>
              </w:rPr>
              <w:t>White Paper</w:t>
            </w:r>
            <w:r w:rsidRPr="00A4631C">
              <w:rPr>
                <w:sz w:val="18"/>
                <w:szCs w:val="18"/>
              </w:rPr>
              <w:t xml:space="preserve">, International Law Association, 2023 </w:t>
            </w:r>
          </w:p>
          <w:p w14:paraId="008D6741" w14:textId="77777777" w:rsidR="00A96A8E" w:rsidRPr="00A4631C" w:rsidRDefault="00000000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hyperlink r:id="rId13" w:history="1">
              <w:r w:rsidR="00A4631C" w:rsidRPr="00A4631C">
                <w:rPr>
                  <w:sz w:val="18"/>
                  <w:szCs w:val="18"/>
                </w:rPr>
                <w:t>https://www.ilaparis2023.org/wp-content/uploads/2022/11/ADI-ILA-travail-VHD2-EN.pdf</w:t>
              </w:r>
            </w:hyperlink>
          </w:p>
          <w:p w14:paraId="1AD26174" w14:textId="77777777" w:rsidR="00A96A8E" w:rsidRPr="0031785C" w:rsidRDefault="00A96A8E" w:rsidP="000A1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Chars="0" w:left="0" w:firstLineChars="0" w:firstLine="0"/>
              <w:textDirection w:val="lrTb"/>
              <w:rPr>
                <w:sz w:val="18"/>
                <w:szCs w:val="18"/>
              </w:rPr>
            </w:pPr>
          </w:p>
          <w:p w14:paraId="13F15FCF" w14:textId="4B2B2877" w:rsidR="00A96A8E" w:rsidRPr="00A463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r w:rsidRPr="00A4631C">
              <w:rPr>
                <w:sz w:val="18"/>
                <w:szCs w:val="18"/>
              </w:rPr>
              <w:t>- International and European Labour Law, Article-by-Article Commentary, with E. Ales, M. Bell and O. Deinert, Nomos, 2018</w:t>
            </w:r>
            <w:r w:rsidR="000A1024">
              <w:rPr>
                <w:sz w:val="18"/>
                <w:szCs w:val="18"/>
              </w:rPr>
              <w:t xml:space="preserve"> (new edition in preparation)</w:t>
            </w:r>
          </w:p>
          <w:p w14:paraId="2DF5324F" w14:textId="77777777" w:rsidR="00A96A8E" w:rsidRPr="00A4631C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</w:rPr>
            </w:pPr>
          </w:p>
          <w:p w14:paraId="3297DDB0" w14:textId="74699CB1" w:rsidR="00A96A8E" w:rsidRPr="000A1024" w:rsidRDefault="00000000" w:rsidP="000A1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- Manuel de droit européen du travail, Bruylant, 2016</w:t>
            </w:r>
            <w:r w:rsidR="000A1024">
              <w:rPr>
                <w:sz w:val="18"/>
                <w:szCs w:val="18"/>
                <w:lang w:val="fr-FR"/>
              </w:rPr>
              <w:t xml:space="preserve"> </w:t>
            </w:r>
            <w:r w:rsidR="000A1024" w:rsidRPr="000A1024">
              <w:rPr>
                <w:sz w:val="18"/>
                <w:szCs w:val="18"/>
                <w:lang w:val="fr-FR"/>
              </w:rPr>
              <w:t xml:space="preserve">(new </w:t>
            </w:r>
            <w:proofErr w:type="spellStart"/>
            <w:r w:rsidR="000A1024" w:rsidRPr="000A1024">
              <w:rPr>
                <w:sz w:val="18"/>
                <w:szCs w:val="18"/>
                <w:lang w:val="fr-FR"/>
              </w:rPr>
              <w:t>edition</w:t>
            </w:r>
            <w:proofErr w:type="spellEnd"/>
            <w:r w:rsidR="000A1024" w:rsidRPr="000A1024">
              <w:rPr>
                <w:sz w:val="18"/>
                <w:szCs w:val="18"/>
                <w:lang w:val="fr-FR"/>
              </w:rPr>
              <w:t xml:space="preserve"> in </w:t>
            </w:r>
            <w:proofErr w:type="spellStart"/>
            <w:r w:rsidR="000A1024" w:rsidRPr="000A1024">
              <w:rPr>
                <w:sz w:val="18"/>
                <w:szCs w:val="18"/>
                <w:lang w:val="fr-FR"/>
              </w:rPr>
              <w:t>preparation</w:t>
            </w:r>
            <w:proofErr w:type="spellEnd"/>
            <w:r w:rsidR="000A1024" w:rsidRPr="000A1024">
              <w:rPr>
                <w:sz w:val="18"/>
                <w:szCs w:val="18"/>
                <w:lang w:val="fr-FR"/>
              </w:rPr>
              <w:t>)</w:t>
            </w:r>
          </w:p>
          <w:p w14:paraId="07206C60" w14:textId="77777777" w:rsidR="00A96A8E" w:rsidRPr="000A1024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</w:p>
          <w:p w14:paraId="01EA64A3" w14:textId="77777777" w:rsidR="00A96A8E" w:rsidRPr="00BF2A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BF2A00">
              <w:rPr>
                <w:sz w:val="18"/>
                <w:szCs w:val="18"/>
                <w:lang w:val="fr-FR"/>
              </w:rPr>
              <w:t xml:space="preserve">- Les contrats de travail flexibles, Une comparaison internationale, Presses de </w:t>
            </w:r>
            <w:proofErr w:type="spellStart"/>
            <w:r w:rsidRPr="00BF2A00">
              <w:rPr>
                <w:sz w:val="18"/>
                <w:szCs w:val="18"/>
                <w:lang w:val="fr-FR"/>
              </w:rPr>
              <w:t>SciencesPo</w:t>
            </w:r>
            <w:proofErr w:type="spellEnd"/>
            <w:r w:rsidRPr="00BF2A00">
              <w:rPr>
                <w:sz w:val="18"/>
                <w:szCs w:val="18"/>
                <w:lang w:val="fr-FR"/>
              </w:rPr>
              <w:t>, 2015</w:t>
            </w:r>
          </w:p>
          <w:p w14:paraId="182378D0" w14:textId="77777777" w:rsidR="00A96A8E" w:rsidRPr="00BF2A00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</w:p>
          <w:p w14:paraId="23DE94DD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- Droit européen (Union européenne – Conseil de l’Europe),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with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 xml:space="preserve"> J.-S. Bergé, PUF Thémis / Droit, 2nd 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ed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, 2011</w:t>
            </w:r>
          </w:p>
          <w:p w14:paraId="2D01AFD6" w14:textId="77777777" w:rsidR="00A96A8E" w:rsidRPr="000A1024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</w:p>
          <w:p w14:paraId="34C37E82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- Les échanges entre les droits, L’expérience communautaire (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ed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.),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with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 xml:space="preserve"> D.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Fasquelle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, Bruylant, 2009</w:t>
            </w:r>
          </w:p>
          <w:p w14:paraId="4AD90BEE" w14:textId="77777777" w:rsidR="00A96A8E" w:rsidRPr="000A1024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</w:p>
          <w:p w14:paraId="03AB86FA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- Diversité et discriminations raciales : une perspective transatlantique (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ed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.),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with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 xml:space="preserve"> F.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Guiomard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, Dalloz, thèmes et commentaires, 2009</w:t>
            </w:r>
          </w:p>
          <w:p w14:paraId="6665CC4E" w14:textId="77777777" w:rsidR="00A96A8E" w:rsidRPr="000A1024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</w:p>
          <w:p w14:paraId="6A5BC1F9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- Le principe d'égalité en droit communautaire, étude à partir des libertés économiques, Presses universitaires d'Aix-Marseille, 1999</w:t>
            </w:r>
          </w:p>
          <w:p w14:paraId="5D2D4E0A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 </w:t>
            </w:r>
          </w:p>
          <w:p w14:paraId="2E17B4A5" w14:textId="77777777" w:rsidR="00A96A8E" w:rsidRPr="00BA1B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</w:pPr>
            <w:r w:rsidRPr="00BA1B6C"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  <w:t>ARTICLES AND BOOK CHAPTERS</w:t>
            </w:r>
          </w:p>
          <w:p w14:paraId="5E79DDB4" w14:textId="77777777" w:rsidR="00D91355" w:rsidRPr="00BA1B6C" w:rsidRDefault="00D91355" w:rsidP="00D91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textDirection w:val="lrTb"/>
              <w:rPr>
                <w:sz w:val="18"/>
                <w:szCs w:val="18"/>
                <w:lang w:val="en-US"/>
              </w:rPr>
            </w:pPr>
          </w:p>
          <w:p w14:paraId="5758975A" w14:textId="0D98F650" w:rsidR="000A1024" w:rsidRPr="000A1024" w:rsidRDefault="00D91355" w:rsidP="000A1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r w:rsidRPr="000A1024">
              <w:rPr>
                <w:sz w:val="18"/>
                <w:szCs w:val="18"/>
                <w:lang w:val="en-US"/>
              </w:rPr>
              <w:t xml:space="preserve">- </w:t>
            </w:r>
            <w:r w:rsidR="000A1024" w:rsidRPr="00A4631C">
              <w:rPr>
                <w:sz w:val="18"/>
                <w:szCs w:val="18"/>
              </w:rPr>
              <w:t>Free Movement, Prohibition of Nationality Discrimination and EU Discrimination Law, Edward Elgar Research Handbook on European Anti-Discrimination Law</w:t>
            </w:r>
            <w:r w:rsidR="00551BCB">
              <w:rPr>
                <w:sz w:val="18"/>
                <w:szCs w:val="18"/>
              </w:rPr>
              <w:t xml:space="preserve">, </w:t>
            </w:r>
            <w:r w:rsidR="000A1024" w:rsidRPr="00A4631C">
              <w:rPr>
                <w:sz w:val="18"/>
                <w:szCs w:val="18"/>
              </w:rPr>
              <w:t>202</w:t>
            </w:r>
            <w:r w:rsidR="000A1024">
              <w:rPr>
                <w:sz w:val="18"/>
                <w:szCs w:val="18"/>
              </w:rPr>
              <w:t>5</w:t>
            </w:r>
            <w:r w:rsidR="00551BCB">
              <w:rPr>
                <w:sz w:val="18"/>
                <w:szCs w:val="18"/>
              </w:rPr>
              <w:t>, p. 85</w:t>
            </w:r>
          </w:p>
          <w:p w14:paraId="03EFEA62" w14:textId="77777777" w:rsidR="000A1024" w:rsidRPr="000A1024" w:rsidRDefault="000A1024" w:rsidP="006A5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sz w:val="18"/>
                <w:szCs w:val="18"/>
                <w:lang w:val="en-US"/>
              </w:rPr>
            </w:pPr>
          </w:p>
          <w:p w14:paraId="043B3256" w14:textId="60A8415C" w:rsidR="00D91355" w:rsidRDefault="000A1024" w:rsidP="006A5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- </w:t>
            </w:r>
            <w:r w:rsidR="00D91355" w:rsidRPr="000A1024">
              <w:rPr>
                <w:sz w:val="18"/>
                <w:szCs w:val="18"/>
                <w:lang w:val="fr-FR"/>
              </w:rPr>
              <w:t xml:space="preserve">La contribution de la politique sociale à la lutte contre le changement climatique, in La justice en transition : vers une Union européenne solidaire et durable, Mélanges en l’honneur d’Alexander </w:t>
            </w:r>
            <w:proofErr w:type="spellStart"/>
            <w:r w:rsidR="00D91355" w:rsidRPr="000A1024">
              <w:rPr>
                <w:sz w:val="18"/>
                <w:szCs w:val="18"/>
                <w:lang w:val="fr-FR"/>
              </w:rPr>
              <w:t>Arabadjiev</w:t>
            </w:r>
            <w:proofErr w:type="spellEnd"/>
            <w:r w:rsidR="00D91355" w:rsidRPr="000A1024">
              <w:rPr>
                <w:sz w:val="18"/>
                <w:szCs w:val="18"/>
                <w:lang w:val="fr-FR"/>
              </w:rPr>
              <w:t>, Larcier, 2025</w:t>
            </w:r>
            <w:r w:rsidR="00551BCB">
              <w:rPr>
                <w:sz w:val="18"/>
                <w:szCs w:val="18"/>
                <w:lang w:val="fr-FR"/>
              </w:rPr>
              <w:t>, p. 323</w:t>
            </w:r>
          </w:p>
          <w:p w14:paraId="1635C1A8" w14:textId="77777777" w:rsidR="000A1024" w:rsidRDefault="000A1024" w:rsidP="006A5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sz w:val="18"/>
                <w:szCs w:val="18"/>
                <w:lang w:val="fr-FR"/>
              </w:rPr>
            </w:pPr>
          </w:p>
          <w:p w14:paraId="11CB5636" w14:textId="1F2C5D10" w:rsidR="000A1024" w:rsidRPr="000A1024" w:rsidRDefault="000A1024" w:rsidP="000A1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textDirection w:val="lrTb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- </w:t>
            </w:r>
            <w:r w:rsidRPr="000A1024">
              <w:rPr>
                <w:sz w:val="18"/>
                <w:szCs w:val="18"/>
                <w:lang w:val="fr-FR"/>
              </w:rPr>
              <w:t>Le droit social européen face à </w:t>
            </w:r>
            <w:proofErr w:type="gramStart"/>
            <w:r w:rsidRPr="000A1024">
              <w:rPr>
                <w:sz w:val="18"/>
                <w:szCs w:val="18"/>
                <w:lang w:val="fr-FR"/>
              </w:rPr>
              <w:t>l'IA ,</w:t>
            </w:r>
            <w:proofErr w:type="gramEnd"/>
            <w:r w:rsidRPr="000A1024">
              <w:rPr>
                <w:sz w:val="18"/>
                <w:szCs w:val="18"/>
                <w:lang w:val="fr-FR"/>
              </w:rPr>
              <w:t xml:space="preserve"> RTD 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eur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., 2024, 477</w:t>
            </w:r>
          </w:p>
          <w:p w14:paraId="6E06CEF4" w14:textId="77777777" w:rsidR="00D91355" w:rsidRPr="000A1024" w:rsidRDefault="00D91355" w:rsidP="006A5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sz w:val="18"/>
                <w:szCs w:val="18"/>
                <w:lang w:val="fr-FR"/>
              </w:rPr>
            </w:pPr>
          </w:p>
          <w:p w14:paraId="163E4BF2" w14:textId="2F5D14A6" w:rsidR="006A573D" w:rsidRPr="00D91355" w:rsidRDefault="00D91355" w:rsidP="00D91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textDirection w:val="lrT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972E77" w:rsidRPr="00D91355">
              <w:rPr>
                <w:sz w:val="18"/>
                <w:szCs w:val="18"/>
              </w:rPr>
              <w:t xml:space="preserve">The Future of Work, </w:t>
            </w:r>
            <w:r w:rsidR="006A573D" w:rsidRPr="00D91355">
              <w:rPr>
                <w:sz w:val="18"/>
                <w:szCs w:val="18"/>
              </w:rPr>
              <w:t>in</w:t>
            </w:r>
            <w:r w:rsidR="00972E77" w:rsidRPr="00D91355">
              <w:rPr>
                <w:sz w:val="18"/>
                <w:szCs w:val="18"/>
              </w:rPr>
              <w:t xml:space="preserve"> </w:t>
            </w:r>
            <w:r w:rsidR="006A573D" w:rsidRPr="00D91355">
              <w:rPr>
                <w:sz w:val="18"/>
                <w:szCs w:val="18"/>
              </w:rPr>
              <w:t xml:space="preserve">C. </w:t>
            </w:r>
            <w:proofErr w:type="spellStart"/>
            <w:r w:rsidR="006A573D" w:rsidRPr="00D91355">
              <w:rPr>
                <w:sz w:val="18"/>
                <w:szCs w:val="18"/>
              </w:rPr>
              <w:t>Hiessl</w:t>
            </w:r>
            <w:proofErr w:type="spellEnd"/>
            <w:r w:rsidR="006A573D" w:rsidRPr="00D91355">
              <w:rPr>
                <w:sz w:val="18"/>
                <w:szCs w:val="18"/>
              </w:rPr>
              <w:t xml:space="preserve"> and F. Hendrickx</w:t>
            </w:r>
            <w:r w:rsidR="00972E77" w:rsidRPr="00D91355">
              <w:rPr>
                <w:sz w:val="18"/>
                <w:szCs w:val="18"/>
              </w:rPr>
              <w:t xml:space="preserve"> (eds.)</w:t>
            </w:r>
            <w:r w:rsidR="006A573D" w:rsidRPr="00D91355">
              <w:rPr>
                <w:sz w:val="18"/>
                <w:szCs w:val="18"/>
              </w:rPr>
              <w:t xml:space="preserve">, The Meaning of Work: </w:t>
            </w:r>
            <w:r w:rsidR="00A83863">
              <w:rPr>
                <w:sz w:val="18"/>
                <w:szCs w:val="18"/>
              </w:rPr>
              <w:t>A</w:t>
            </w:r>
            <w:r w:rsidR="006A573D" w:rsidRPr="00D91355">
              <w:rPr>
                <w:sz w:val="18"/>
                <w:szCs w:val="18"/>
              </w:rPr>
              <w:t xml:space="preserve"> Labour Law Perspective, </w:t>
            </w:r>
            <w:r w:rsidR="00972E77" w:rsidRPr="00D91355">
              <w:rPr>
                <w:sz w:val="18"/>
                <w:szCs w:val="18"/>
              </w:rPr>
              <w:t>Kluwer, 2024</w:t>
            </w:r>
            <w:r w:rsidR="00D8499E">
              <w:rPr>
                <w:sz w:val="18"/>
                <w:szCs w:val="18"/>
              </w:rPr>
              <w:t>, p. 23</w:t>
            </w:r>
          </w:p>
          <w:p w14:paraId="6EF44C91" w14:textId="77777777" w:rsidR="006A573D" w:rsidRPr="00A4631C" w:rsidRDefault="006A573D" w:rsidP="006A5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sz w:val="18"/>
                <w:szCs w:val="18"/>
              </w:rPr>
            </w:pPr>
          </w:p>
          <w:p w14:paraId="2D2A45B9" w14:textId="77777777" w:rsidR="006A573D" w:rsidRPr="00A4631C" w:rsidRDefault="006A573D" w:rsidP="006A5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sz w:val="18"/>
                <w:szCs w:val="18"/>
              </w:rPr>
            </w:pPr>
            <w:r w:rsidRPr="00A4631C">
              <w:rPr>
                <w:sz w:val="18"/>
                <w:szCs w:val="18"/>
              </w:rPr>
              <w:t xml:space="preserve">- </w:t>
            </w:r>
            <w:r w:rsidR="00F80A96" w:rsidRPr="00A4631C">
              <w:rPr>
                <w:sz w:val="18"/>
                <w:szCs w:val="18"/>
              </w:rPr>
              <w:t>Modernizing EU Anti-discrimination Law to Better Combat Discrimination Against Older Workers in the Context of ‘Just Transition’, in Older Workers, Active Ageing, and the Future of Work</w:t>
            </w:r>
            <w:r w:rsidR="00A4631C">
              <w:rPr>
                <w:sz w:val="18"/>
                <w:szCs w:val="18"/>
              </w:rPr>
              <w:t xml:space="preserve">, </w:t>
            </w:r>
            <w:r w:rsidR="00F80A96" w:rsidRPr="00A4631C">
              <w:rPr>
                <w:sz w:val="18"/>
                <w:szCs w:val="18"/>
              </w:rPr>
              <w:t xml:space="preserve">Discourses and Legal Advancements, J. </w:t>
            </w:r>
            <w:proofErr w:type="spellStart"/>
            <w:r w:rsidR="00F80A96" w:rsidRPr="00A4631C">
              <w:rPr>
                <w:sz w:val="18"/>
                <w:szCs w:val="18"/>
              </w:rPr>
              <w:t>Julén</w:t>
            </w:r>
            <w:proofErr w:type="spellEnd"/>
            <w:r w:rsidR="00F80A96" w:rsidRPr="00A4631C">
              <w:rPr>
                <w:sz w:val="18"/>
                <w:szCs w:val="18"/>
              </w:rPr>
              <w:t xml:space="preserve"> </w:t>
            </w:r>
            <w:proofErr w:type="spellStart"/>
            <w:r w:rsidR="00F80A96" w:rsidRPr="00A4631C">
              <w:rPr>
                <w:sz w:val="18"/>
                <w:szCs w:val="18"/>
              </w:rPr>
              <w:t>Votinius</w:t>
            </w:r>
            <w:proofErr w:type="spellEnd"/>
            <w:r w:rsidR="00F80A96" w:rsidRPr="00A4631C">
              <w:rPr>
                <w:sz w:val="18"/>
                <w:szCs w:val="18"/>
              </w:rPr>
              <w:t xml:space="preserve"> and M. </w:t>
            </w:r>
            <w:proofErr w:type="spellStart"/>
            <w:r w:rsidR="00F80A96" w:rsidRPr="00A4631C">
              <w:rPr>
                <w:sz w:val="18"/>
                <w:szCs w:val="18"/>
              </w:rPr>
              <w:t>Rönnmar</w:t>
            </w:r>
            <w:proofErr w:type="spellEnd"/>
            <w:r w:rsidR="00F80A96" w:rsidRPr="00A4631C">
              <w:rPr>
                <w:sz w:val="18"/>
                <w:szCs w:val="18"/>
              </w:rPr>
              <w:t xml:space="preserve"> (eds.), </w:t>
            </w:r>
            <w:r w:rsidR="0043078B" w:rsidRPr="00A4631C">
              <w:rPr>
                <w:sz w:val="18"/>
                <w:szCs w:val="18"/>
              </w:rPr>
              <w:t>Kluwer, 2024, p. 81</w:t>
            </w:r>
          </w:p>
          <w:p w14:paraId="49C1852D" w14:textId="77777777" w:rsidR="00F80A96" w:rsidRPr="00A4631C" w:rsidRDefault="00F80A96" w:rsidP="00F8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sz w:val="18"/>
                <w:szCs w:val="18"/>
              </w:rPr>
            </w:pPr>
          </w:p>
          <w:p w14:paraId="201EE751" w14:textId="77777777" w:rsidR="00A96A8E" w:rsidRPr="000A1024" w:rsidRDefault="00F8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- Les lois française et britannique face au droit européen, in Dumping dans le Transmanche :</w:t>
            </w:r>
          </w:p>
          <w:p w14:paraId="5C9CCB57" w14:textId="77777777" w:rsidR="0029228B" w:rsidRPr="000A1024" w:rsidRDefault="00000000" w:rsidP="00864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 xml:space="preserve">Quelles réponses française, européenne et </w:t>
            </w:r>
            <w:proofErr w:type="gramStart"/>
            <w:r w:rsidRPr="000A1024">
              <w:rPr>
                <w:sz w:val="18"/>
                <w:szCs w:val="18"/>
                <w:lang w:val="fr-FR"/>
              </w:rPr>
              <w:t>internationale ?,</w:t>
            </w:r>
            <w:proofErr w:type="gramEnd"/>
            <w:r w:rsidRPr="000A1024">
              <w:rPr>
                <w:sz w:val="18"/>
                <w:szCs w:val="18"/>
                <w:lang w:val="fr-FR"/>
              </w:rPr>
              <w:t xml:space="preserve"> Le Droit Maritime Français, n° 867, A</w:t>
            </w:r>
            <w:r w:rsidR="00864062" w:rsidRPr="000A1024">
              <w:rPr>
                <w:sz w:val="18"/>
                <w:szCs w:val="18"/>
                <w:lang w:val="fr-FR"/>
              </w:rPr>
              <w:t xml:space="preserve">pr. </w:t>
            </w:r>
            <w:r w:rsidRPr="000A1024">
              <w:rPr>
                <w:sz w:val="18"/>
                <w:szCs w:val="18"/>
                <w:lang w:val="fr-FR"/>
              </w:rPr>
              <w:t>2024, p. 300</w:t>
            </w:r>
          </w:p>
          <w:p w14:paraId="0631BC4C" w14:textId="77777777" w:rsidR="00A96A8E" w:rsidRPr="000A1024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sz w:val="18"/>
                <w:szCs w:val="18"/>
                <w:lang w:val="fr-FR"/>
              </w:rPr>
            </w:pPr>
          </w:p>
          <w:p w14:paraId="3D117478" w14:textId="77777777" w:rsidR="00A96A8E" w:rsidRPr="00A463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sz w:val="18"/>
                <w:szCs w:val="18"/>
              </w:rPr>
            </w:pPr>
            <w:r w:rsidRPr="00A4631C">
              <w:rPr>
                <w:sz w:val="18"/>
                <w:szCs w:val="18"/>
              </w:rPr>
              <w:t xml:space="preserve">- Discrimination concerning Hiring </w:t>
            </w:r>
            <w:r w:rsidR="00864062" w:rsidRPr="00A4631C">
              <w:rPr>
                <w:sz w:val="18"/>
                <w:szCs w:val="18"/>
              </w:rPr>
              <w:t>a</w:t>
            </w:r>
            <w:r w:rsidRPr="00A4631C">
              <w:rPr>
                <w:sz w:val="18"/>
                <w:szCs w:val="18"/>
              </w:rPr>
              <w:t>nd Firing, in G. Davidov and alii, The Oxford Handbook of the Law of Work, chapter 36, OUP, 2024</w:t>
            </w:r>
            <w:r w:rsidR="0029228B" w:rsidRPr="00A4631C">
              <w:rPr>
                <w:sz w:val="18"/>
                <w:szCs w:val="18"/>
              </w:rPr>
              <w:t>, p. 515</w:t>
            </w:r>
          </w:p>
          <w:p w14:paraId="61ADF6A9" w14:textId="77777777" w:rsidR="00A96A8E" w:rsidRPr="00A4631C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sz w:val="18"/>
                <w:szCs w:val="18"/>
              </w:rPr>
            </w:pPr>
          </w:p>
          <w:p w14:paraId="69DC8DC7" w14:textId="77777777" w:rsidR="00A96A8E" w:rsidRPr="00A463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sz w:val="18"/>
                <w:szCs w:val="18"/>
              </w:rPr>
            </w:pPr>
            <w:r w:rsidRPr="00A4631C">
              <w:rPr>
                <w:sz w:val="18"/>
                <w:szCs w:val="18"/>
              </w:rPr>
              <w:t xml:space="preserve">- Recent reforms of prison work in France: stepping stones on the way toward equal rights, ELLJ, Special issue on Labour and Social Security Rights of Captive Workers, </w:t>
            </w:r>
            <w:r w:rsidR="00864062" w:rsidRPr="00A4631C">
              <w:rPr>
                <w:sz w:val="18"/>
                <w:szCs w:val="18"/>
              </w:rPr>
              <w:t xml:space="preserve">vol. 15, n° 3, </w:t>
            </w:r>
            <w:r w:rsidRPr="00A4631C">
              <w:rPr>
                <w:sz w:val="18"/>
                <w:szCs w:val="18"/>
              </w:rPr>
              <w:t>2024</w:t>
            </w:r>
            <w:r w:rsidR="0029228B" w:rsidRPr="00A4631C">
              <w:rPr>
                <w:sz w:val="18"/>
                <w:szCs w:val="18"/>
              </w:rPr>
              <w:t xml:space="preserve">, p. </w:t>
            </w:r>
            <w:r w:rsidR="00864062" w:rsidRPr="00A4631C">
              <w:rPr>
                <w:sz w:val="18"/>
                <w:szCs w:val="18"/>
              </w:rPr>
              <w:t>477</w:t>
            </w:r>
          </w:p>
          <w:p w14:paraId="4D380A12" w14:textId="77777777" w:rsidR="00A96A8E" w:rsidRPr="00A4631C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sz w:val="18"/>
                <w:szCs w:val="18"/>
              </w:rPr>
            </w:pPr>
          </w:p>
          <w:p w14:paraId="79E73B43" w14:textId="77777777" w:rsidR="00A96A8E" w:rsidRPr="00A463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sz w:val="18"/>
                <w:szCs w:val="18"/>
              </w:rPr>
            </w:pPr>
            <w:r w:rsidRPr="00A4631C">
              <w:rPr>
                <w:sz w:val="18"/>
                <w:szCs w:val="18"/>
              </w:rPr>
              <w:t>- Atypical forms of employment, with A. Lo Faro, in T. Jaspers et alii, European Labour Law, </w:t>
            </w:r>
            <w:proofErr w:type="spellStart"/>
            <w:r w:rsidRPr="00A4631C">
              <w:rPr>
                <w:sz w:val="18"/>
                <w:szCs w:val="18"/>
              </w:rPr>
              <w:t>Intersentia</w:t>
            </w:r>
            <w:proofErr w:type="spellEnd"/>
            <w:r w:rsidRPr="00A4631C">
              <w:rPr>
                <w:sz w:val="18"/>
                <w:szCs w:val="18"/>
              </w:rPr>
              <w:t>, 2024, p. 327</w:t>
            </w:r>
          </w:p>
          <w:p w14:paraId="36D97AAB" w14:textId="77777777" w:rsidR="00AF1144" w:rsidRDefault="00AF1144" w:rsidP="00AF1144">
            <w:pPr>
              <w:pStyle w:val="Titre2"/>
              <w:shd w:val="clear" w:color="auto" w:fill="FFFFFF"/>
              <w:spacing w:before="0" w:after="0"/>
              <w:ind w:left="0" w:hanging="2"/>
              <w:textDirection w:val="lrTb"/>
              <w:rPr>
                <w:rFonts w:eastAsia="SimSun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  <w:p w14:paraId="5043B961" w14:textId="77777777" w:rsidR="00A96A8E" w:rsidRDefault="00AF1144" w:rsidP="00BF2A00">
            <w:pPr>
              <w:pStyle w:val="Titre2"/>
              <w:shd w:val="clear" w:color="auto" w:fill="FFFFFF"/>
              <w:spacing w:before="0" w:after="0"/>
              <w:ind w:left="0" w:hanging="2"/>
              <w:textDirection w:val="lrTb"/>
              <w:rPr>
                <w:rFonts w:eastAsia="SimSun"/>
                <w:b w:val="0"/>
                <w:bCs w:val="0"/>
                <w:i w:val="0"/>
                <w:iCs w:val="0"/>
                <w:sz w:val="18"/>
                <w:szCs w:val="18"/>
                <w:lang w:val="fr-FR"/>
              </w:rPr>
            </w:pPr>
            <w:r w:rsidRPr="00AF1144">
              <w:rPr>
                <w:rFonts w:eastAsia="SimSun"/>
                <w:b w:val="0"/>
                <w:bCs w:val="0"/>
                <w:i w:val="0"/>
                <w:iCs w:val="0"/>
                <w:sz w:val="18"/>
                <w:szCs w:val="18"/>
                <w:lang w:val="fr-FR"/>
              </w:rPr>
              <w:t>- La contribution de la Cour de justice à l'élaboration d'un régime de travail pour les indépendants</w:t>
            </w:r>
            <w:r>
              <w:rPr>
                <w:rFonts w:eastAsia="SimSun"/>
                <w:b w:val="0"/>
                <w:bCs w:val="0"/>
                <w:i w:val="0"/>
                <w:iCs w:val="0"/>
                <w:sz w:val="18"/>
                <w:szCs w:val="18"/>
                <w:lang w:val="fr-FR"/>
              </w:rPr>
              <w:t xml:space="preserve">, </w:t>
            </w:r>
            <w:r w:rsidRPr="00AF1144">
              <w:rPr>
                <w:rFonts w:eastAsia="SimSun"/>
                <w:b w:val="0"/>
                <w:bCs w:val="0"/>
                <w:i w:val="0"/>
                <w:iCs w:val="0"/>
                <w:sz w:val="18"/>
                <w:szCs w:val="18"/>
                <w:lang w:val="fr-FR"/>
              </w:rPr>
              <w:t xml:space="preserve">RTD </w:t>
            </w:r>
            <w:proofErr w:type="spellStart"/>
            <w:r w:rsidRPr="00AF1144">
              <w:rPr>
                <w:rFonts w:eastAsia="SimSun"/>
                <w:b w:val="0"/>
                <w:bCs w:val="0"/>
                <w:i w:val="0"/>
                <w:iCs w:val="0"/>
                <w:sz w:val="18"/>
                <w:szCs w:val="18"/>
                <w:lang w:val="fr-FR"/>
              </w:rPr>
              <w:t>eur</w:t>
            </w:r>
            <w:proofErr w:type="spellEnd"/>
            <w:r w:rsidRPr="00AF1144">
              <w:rPr>
                <w:rFonts w:eastAsia="SimSun"/>
                <w:b w:val="0"/>
                <w:bCs w:val="0"/>
                <w:i w:val="0"/>
                <w:iCs w:val="0"/>
                <w:sz w:val="18"/>
                <w:szCs w:val="18"/>
                <w:lang w:val="fr-FR"/>
              </w:rPr>
              <w:t>. 2023</w:t>
            </w:r>
            <w:r>
              <w:rPr>
                <w:rFonts w:eastAsia="SimSun"/>
                <w:b w:val="0"/>
                <w:bCs w:val="0"/>
                <w:i w:val="0"/>
                <w:iCs w:val="0"/>
                <w:sz w:val="18"/>
                <w:szCs w:val="18"/>
                <w:lang w:val="fr-FR"/>
              </w:rPr>
              <w:t>, p.</w:t>
            </w:r>
            <w:r w:rsidRPr="00AF1144">
              <w:rPr>
                <w:rFonts w:eastAsia="SimSun"/>
                <w:b w:val="0"/>
                <w:bCs w:val="0"/>
                <w:i w:val="0"/>
                <w:iCs w:val="0"/>
                <w:sz w:val="18"/>
                <w:szCs w:val="18"/>
                <w:lang w:val="fr-FR"/>
              </w:rPr>
              <w:t> 265</w:t>
            </w:r>
          </w:p>
          <w:p w14:paraId="512B8E1C" w14:textId="77777777" w:rsidR="00BF2A00" w:rsidRPr="00BF2A00" w:rsidRDefault="00BF2A00" w:rsidP="00BF2A00">
            <w:pPr>
              <w:pStyle w:val="Corpsdetexte"/>
              <w:ind w:left="0" w:hanging="2"/>
              <w:textDirection w:val="lrTb"/>
              <w:rPr>
                <w:lang w:val="fr-FR"/>
              </w:rPr>
            </w:pPr>
          </w:p>
          <w:p w14:paraId="0EF7BA24" w14:textId="77777777" w:rsidR="00A96A8E" w:rsidRPr="00BF2A00" w:rsidRDefault="00000000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BF2A00">
              <w:rPr>
                <w:sz w:val="18"/>
                <w:szCs w:val="18"/>
                <w:lang w:val="fr-FR"/>
              </w:rPr>
              <w:t>- L'application directe du droit européen du travail en matière de congés payés, Semaine sociale Lamy, 4 déc. 2023, p. 31</w:t>
            </w:r>
          </w:p>
          <w:p w14:paraId="50ACB51E" w14:textId="77777777" w:rsidR="00A96A8E" w:rsidRPr="00BF2A00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</w:p>
          <w:p w14:paraId="0CAD2907" w14:textId="77777777" w:rsidR="00A96A8E" w:rsidRPr="00A4631C" w:rsidRDefault="00000000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r w:rsidRPr="00A4631C">
              <w:rPr>
                <w:sz w:val="18"/>
                <w:szCs w:val="18"/>
              </w:rPr>
              <w:lastRenderedPageBreak/>
              <w:t xml:space="preserve">- Energy Poverty, Fair Transition and Labour Law, in Labour Law and Climate Change: Towards a Just Transition, </w:t>
            </w:r>
            <w:proofErr w:type="spellStart"/>
            <w:r w:rsidRPr="00A4631C">
              <w:rPr>
                <w:sz w:val="18"/>
                <w:szCs w:val="18"/>
              </w:rPr>
              <w:t>Perulli-Treu</w:t>
            </w:r>
            <w:proofErr w:type="spellEnd"/>
            <w:r w:rsidRPr="00A4631C">
              <w:rPr>
                <w:sz w:val="18"/>
                <w:szCs w:val="18"/>
              </w:rPr>
              <w:t xml:space="preserve"> (eds), Wolters Kluwer, 2023, chapter 12, p. 155. </w:t>
            </w:r>
          </w:p>
          <w:p w14:paraId="6A0B9EF3" w14:textId="77777777" w:rsidR="00A96A8E" w:rsidRPr="00A4631C" w:rsidRDefault="00A96A8E">
            <w:pPr>
              <w:shd w:val="clear" w:color="auto" w:fill="FFFFFF"/>
              <w:ind w:left="0" w:hanging="2"/>
              <w:textDirection w:val="lrTb"/>
              <w:rPr>
                <w:sz w:val="18"/>
                <w:szCs w:val="18"/>
              </w:rPr>
            </w:pPr>
          </w:p>
          <w:p w14:paraId="5ADDACF6" w14:textId="77777777" w:rsidR="00A96A8E" w:rsidRPr="00A4631C" w:rsidRDefault="00000000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r w:rsidRPr="00A4631C">
              <w:rPr>
                <w:sz w:val="18"/>
                <w:szCs w:val="18"/>
              </w:rPr>
              <w:t xml:space="preserve">- Digitalisation of labour law in France, in M. de Vos, The Cambridge Handbook of Technological Disruption in Employment and Labour Law, Cambridge, 2023 </w:t>
            </w:r>
          </w:p>
          <w:p w14:paraId="6576E5E4" w14:textId="77777777" w:rsidR="00A96A8E" w:rsidRPr="00A4631C" w:rsidRDefault="00A96A8E" w:rsidP="000A1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sz w:val="18"/>
                <w:szCs w:val="18"/>
              </w:rPr>
            </w:pPr>
          </w:p>
          <w:p w14:paraId="1D5E3B37" w14:textId="77777777" w:rsidR="00A96A8E" w:rsidRPr="000A1024" w:rsidRDefault="0000000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 xml:space="preserve">- Du marché intérieur au droit de l’immigration : Le long et aride chemin du principe de non-discrimination à raison de la nationalité, in Laurence 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Idot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 xml:space="preserve"> Liber 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Amicorum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 xml:space="preserve">, Concurrence et Europe, C. Lemaire et F. 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Martucci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dir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.), Concurrence, 2022, p. 455</w:t>
            </w:r>
          </w:p>
          <w:p w14:paraId="43126939" w14:textId="77777777" w:rsidR="00A96A8E" w:rsidRPr="000A1024" w:rsidRDefault="00A96A8E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bookmarkStart w:id="1" w:name="_heading=h.30j0zll" w:colFirst="0" w:colLast="0"/>
            <w:bookmarkEnd w:id="1"/>
          </w:p>
          <w:p w14:paraId="345B8B0C" w14:textId="77777777" w:rsidR="00A96A8E" w:rsidRPr="00A4631C" w:rsidRDefault="00000000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r w:rsidRPr="00A4631C">
              <w:rPr>
                <w:sz w:val="18"/>
                <w:szCs w:val="18"/>
              </w:rPr>
              <w:t xml:space="preserve">- </w:t>
            </w:r>
            <w:hyperlink r:id="rId14">
              <w:r w:rsidRPr="00A4631C">
                <w:rPr>
                  <w:sz w:val="18"/>
                  <w:szCs w:val="18"/>
                </w:rPr>
                <w:t>Posting of workers in the European Union: an exploitative labour system</w:t>
              </w:r>
            </w:hyperlink>
            <w:r w:rsidRPr="00A4631C">
              <w:rPr>
                <w:sz w:val="18"/>
                <w:szCs w:val="18"/>
              </w:rPr>
              <w:t>, </w:t>
            </w:r>
            <w:hyperlink r:id="rId15">
              <w:r w:rsidRPr="00A4631C">
                <w:rPr>
                  <w:sz w:val="18"/>
                  <w:szCs w:val="18"/>
                </w:rPr>
                <w:t>European Law Open</w:t>
              </w:r>
            </w:hyperlink>
            <w:r w:rsidRPr="00A4631C">
              <w:rPr>
                <w:sz w:val="18"/>
                <w:szCs w:val="18"/>
              </w:rPr>
              <w:t>, Vol 1, </w:t>
            </w:r>
            <w:hyperlink r:id="rId16">
              <w:r w:rsidRPr="00A4631C">
                <w:rPr>
                  <w:sz w:val="18"/>
                  <w:szCs w:val="18"/>
                </w:rPr>
                <w:t>Issue 3</w:t>
              </w:r>
            </w:hyperlink>
            <w:r w:rsidRPr="00A4631C">
              <w:rPr>
                <w:sz w:val="18"/>
                <w:szCs w:val="18"/>
              </w:rPr>
              <w:t>, Sept. 2022</w:t>
            </w:r>
          </w:p>
          <w:p w14:paraId="36F20EF2" w14:textId="77777777" w:rsidR="00A96A8E" w:rsidRDefault="00000000">
            <w:pPr>
              <w:ind w:left="0" w:hanging="2"/>
              <w:textDirection w:val="lrTb"/>
              <w:rPr>
                <w:sz w:val="18"/>
                <w:szCs w:val="18"/>
              </w:rPr>
            </w:pPr>
            <w:hyperlink r:id="rId17">
              <w:r w:rsidRPr="00A4631C">
                <w:rPr>
                  <w:sz w:val="18"/>
                  <w:szCs w:val="18"/>
                </w:rPr>
                <w:t>https://www.cambridge.org/core/journals/european-law-open/article/posting-of-workers-in-the-european-union-an-exploitative-labour-system/6E5C77B02FD2A7841FADECCFC05A3CC6</w:t>
              </w:r>
            </w:hyperlink>
          </w:p>
          <w:p w14:paraId="7F342D9B" w14:textId="77777777" w:rsidR="00AF1144" w:rsidRDefault="00AF1144">
            <w:pPr>
              <w:ind w:left="0" w:hanging="2"/>
              <w:textDirection w:val="lrTb"/>
              <w:rPr>
                <w:sz w:val="18"/>
                <w:szCs w:val="18"/>
              </w:rPr>
            </w:pPr>
          </w:p>
          <w:p w14:paraId="0FC68F65" w14:textId="77777777" w:rsidR="00AF1144" w:rsidRPr="00AF1144" w:rsidRDefault="00AF1144" w:rsidP="00AF1144">
            <w:pPr>
              <w:pStyle w:val="Titre2"/>
              <w:shd w:val="clear" w:color="auto" w:fill="FFFFFF"/>
              <w:spacing w:before="0" w:after="0"/>
              <w:ind w:left="0" w:hanging="2"/>
              <w:textDirection w:val="lrTb"/>
              <w:rPr>
                <w:rFonts w:eastAsia="SimSun"/>
                <w:b w:val="0"/>
                <w:bCs w:val="0"/>
                <w:i w:val="0"/>
                <w:iCs w:val="0"/>
                <w:sz w:val="18"/>
                <w:szCs w:val="18"/>
                <w:lang w:val="fr-FR"/>
              </w:rPr>
            </w:pPr>
            <w:r>
              <w:rPr>
                <w:rFonts w:eastAsia="SimSun"/>
                <w:b w:val="0"/>
                <w:bCs w:val="0"/>
                <w:i w:val="0"/>
                <w:iCs w:val="0"/>
                <w:sz w:val="18"/>
                <w:szCs w:val="18"/>
                <w:lang w:val="fr-FR"/>
              </w:rPr>
              <w:t xml:space="preserve">- </w:t>
            </w:r>
            <w:r w:rsidRPr="00AF1144">
              <w:rPr>
                <w:rFonts w:eastAsia="SimSun"/>
                <w:b w:val="0"/>
                <w:bCs w:val="0"/>
                <w:i w:val="0"/>
                <w:iCs w:val="0"/>
                <w:sz w:val="18"/>
                <w:szCs w:val="18"/>
                <w:lang w:val="fr-FR"/>
              </w:rPr>
              <w:t>La pauvreté au travail : nouveau sujet et nouvelle méthode de la politique sociale de l'Union</w:t>
            </w:r>
            <w:r>
              <w:rPr>
                <w:rFonts w:eastAsia="SimSun"/>
                <w:b w:val="0"/>
                <w:bCs w:val="0"/>
                <w:i w:val="0"/>
                <w:iCs w:val="0"/>
                <w:sz w:val="18"/>
                <w:szCs w:val="18"/>
                <w:lang w:val="fr-FR"/>
              </w:rPr>
              <w:t xml:space="preserve">, </w:t>
            </w:r>
            <w:r w:rsidRPr="00AF1144">
              <w:rPr>
                <w:rFonts w:eastAsia="SimSun"/>
                <w:b w:val="0"/>
                <w:bCs w:val="0"/>
                <w:i w:val="0"/>
                <w:iCs w:val="0"/>
                <w:sz w:val="18"/>
                <w:szCs w:val="18"/>
                <w:lang w:val="fr-FR"/>
              </w:rPr>
              <w:t xml:space="preserve">RTD </w:t>
            </w:r>
            <w:proofErr w:type="spellStart"/>
            <w:r w:rsidRPr="00AF1144">
              <w:rPr>
                <w:rFonts w:eastAsia="SimSun"/>
                <w:b w:val="0"/>
                <w:bCs w:val="0"/>
                <w:i w:val="0"/>
                <w:iCs w:val="0"/>
                <w:sz w:val="18"/>
                <w:szCs w:val="18"/>
                <w:lang w:val="fr-FR"/>
              </w:rPr>
              <w:t>eur</w:t>
            </w:r>
            <w:proofErr w:type="spellEnd"/>
            <w:r w:rsidRPr="00AF1144">
              <w:rPr>
                <w:rFonts w:eastAsia="SimSun"/>
                <w:b w:val="0"/>
                <w:bCs w:val="0"/>
                <w:i w:val="0"/>
                <w:iCs w:val="0"/>
                <w:sz w:val="18"/>
                <w:szCs w:val="18"/>
                <w:lang w:val="fr-FR"/>
              </w:rPr>
              <w:t>. 2021</w:t>
            </w:r>
            <w:r>
              <w:rPr>
                <w:rFonts w:eastAsia="SimSun"/>
                <w:b w:val="0"/>
                <w:bCs w:val="0"/>
                <w:i w:val="0"/>
                <w:iCs w:val="0"/>
                <w:sz w:val="18"/>
                <w:szCs w:val="18"/>
                <w:lang w:val="fr-FR"/>
              </w:rPr>
              <w:t>, p.</w:t>
            </w:r>
            <w:r w:rsidRPr="00AF1144">
              <w:rPr>
                <w:rFonts w:eastAsia="SimSun"/>
                <w:b w:val="0"/>
                <w:bCs w:val="0"/>
                <w:i w:val="0"/>
                <w:iCs w:val="0"/>
                <w:sz w:val="18"/>
                <w:szCs w:val="18"/>
                <w:lang w:val="fr-FR"/>
              </w:rPr>
              <w:t xml:space="preserve"> 497</w:t>
            </w:r>
          </w:p>
          <w:p w14:paraId="4F77C160" w14:textId="77777777" w:rsidR="00A96A8E" w:rsidRPr="00AF1144" w:rsidRDefault="00A96A8E" w:rsidP="00AF1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sz w:val="18"/>
                <w:szCs w:val="18"/>
                <w:lang w:val="fr-FR"/>
              </w:rPr>
            </w:pPr>
          </w:p>
          <w:p w14:paraId="404255BE" w14:textId="77777777" w:rsidR="00A96A8E" w:rsidRPr="00A4631C" w:rsidRDefault="00000000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r w:rsidRPr="00A4631C">
              <w:rPr>
                <w:sz w:val="18"/>
                <w:szCs w:val="18"/>
              </w:rPr>
              <w:t>- Infringement Procedure: European Court of Justice (ECJ), Max Planck Encyclopedias of International Law [MPIL], Oxford, 2021</w:t>
            </w:r>
          </w:p>
          <w:p w14:paraId="4BE03A02" w14:textId="77777777" w:rsidR="00A96A8E" w:rsidRPr="00A4631C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</w:p>
          <w:p w14:paraId="741E2C59" w14:textId="77777777" w:rsidR="00A96A8E" w:rsidRPr="00A463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bookmarkStart w:id="2" w:name="_heading=h.1fob9te" w:colFirst="0" w:colLast="0"/>
            <w:bookmarkEnd w:id="2"/>
            <w:r w:rsidRPr="00A4631C">
              <w:rPr>
                <w:sz w:val="18"/>
                <w:szCs w:val="18"/>
              </w:rPr>
              <w:t xml:space="preserve">- </w:t>
            </w:r>
            <w:hyperlink r:id="rId18">
              <w:r w:rsidRPr="00A4631C">
                <w:rPr>
                  <w:sz w:val="18"/>
                  <w:szCs w:val="18"/>
                </w:rPr>
                <w:t>Free Movement of Workers in the Light of the COVID-19 Sanitary Crisis: From Restrictive Selection to Selective Mobility</w:t>
              </w:r>
            </w:hyperlink>
            <w:r w:rsidRPr="00A4631C">
              <w:rPr>
                <w:sz w:val="18"/>
                <w:szCs w:val="18"/>
              </w:rPr>
              <w:t>, European Papers, 20 May 2020 </w:t>
            </w:r>
          </w:p>
          <w:p w14:paraId="4498596E" w14:textId="77777777" w:rsidR="00A96A8E" w:rsidRPr="00A4631C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</w:p>
          <w:p w14:paraId="23AB979F" w14:textId="77777777" w:rsidR="00A96A8E" w:rsidRPr="00A463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r w:rsidRPr="00A4631C">
              <w:rPr>
                <w:sz w:val="18"/>
                <w:szCs w:val="18"/>
              </w:rPr>
              <w:t>- The “Digital Single Market” and Neoliberalism: Reflections on Net Neutrality, in Legal trajectories of neoliberalism: critical inquiries on law in Europe, M. Salomon et B. de Witte (dir.), Robert Schuman Centre for advanced studies, Working paper 2019/43, European University Institute, 2019, p. 45 (</w:t>
            </w:r>
            <w:proofErr w:type="spellStart"/>
            <w:r w:rsidRPr="00A4631C">
              <w:rPr>
                <w:sz w:val="18"/>
                <w:szCs w:val="18"/>
              </w:rPr>
              <w:t>en</w:t>
            </w:r>
            <w:proofErr w:type="spellEnd"/>
            <w:r w:rsidRPr="00A4631C">
              <w:rPr>
                <w:sz w:val="18"/>
                <w:szCs w:val="18"/>
              </w:rPr>
              <w:t xml:space="preserve"> </w:t>
            </w:r>
            <w:proofErr w:type="spellStart"/>
            <w:r w:rsidRPr="00A4631C">
              <w:rPr>
                <w:sz w:val="18"/>
                <w:szCs w:val="18"/>
              </w:rPr>
              <w:t>ligne</w:t>
            </w:r>
            <w:proofErr w:type="spellEnd"/>
            <w:r w:rsidRPr="00A4631C">
              <w:rPr>
                <w:sz w:val="18"/>
                <w:szCs w:val="18"/>
              </w:rPr>
              <w:t> : </w:t>
            </w:r>
            <w:hyperlink r:id="rId19">
              <w:r w:rsidRPr="00A4631C">
                <w:rPr>
                  <w:sz w:val="18"/>
                  <w:szCs w:val="18"/>
                </w:rPr>
                <w:t>http://hdl.handle.net/1814/63447</w:t>
              </w:r>
            </w:hyperlink>
            <w:r w:rsidRPr="00A4631C">
              <w:rPr>
                <w:sz w:val="18"/>
                <w:szCs w:val="18"/>
              </w:rPr>
              <w:t>) </w:t>
            </w:r>
          </w:p>
          <w:p w14:paraId="08E46D41" w14:textId="77777777" w:rsidR="00A96A8E" w:rsidRPr="00A4631C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</w:p>
          <w:p w14:paraId="3E401CD2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- La révision de la directive sur le détachement des travailleurs, Premier succès de la France au service de ‘l’Europe qui protège</w:t>
            </w:r>
            <w:proofErr w:type="gramStart"/>
            <w:r w:rsidRPr="000A1024">
              <w:rPr>
                <w:sz w:val="18"/>
                <w:szCs w:val="18"/>
                <w:lang w:val="fr-FR"/>
              </w:rPr>
              <w:t>’ ?,</w:t>
            </w:r>
            <w:proofErr w:type="gramEnd"/>
            <w:r w:rsidRPr="000A1024">
              <w:rPr>
                <w:sz w:val="18"/>
                <w:szCs w:val="18"/>
                <w:lang w:val="fr-FR"/>
              </w:rPr>
              <w:t> Annuaire français de relations internationales, 2019, Volume XX, p. 389 </w:t>
            </w:r>
          </w:p>
          <w:p w14:paraId="3C9E85B2" w14:textId="77777777" w:rsidR="00A96A8E" w:rsidRPr="000A1024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</w:p>
          <w:p w14:paraId="287BDC9A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- L’érosion de la distinction de l’économique et le social dans les libertés de circulation, L’exemple de la « neutralité du net », in A.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Boujeka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 (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dir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.), Les libertés de circulation au-delà de l’économie, Mare &amp; Martin, 2019 </w:t>
            </w:r>
          </w:p>
          <w:p w14:paraId="32CAB8BE" w14:textId="77777777" w:rsidR="00A96A8E" w:rsidRPr="000A1024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</w:p>
          <w:p w14:paraId="261E1EBA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- Le droit social de l’Union européenne absorbé par l’Union Economique et Monétaire, Liber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Amicorum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 en hommage à Pierre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Rodière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, LGDJ, 2019, p. 439 </w:t>
            </w:r>
          </w:p>
          <w:p w14:paraId="6C8D86E8" w14:textId="77777777" w:rsidR="00A96A8E" w:rsidRPr="000A1024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</w:p>
          <w:p w14:paraId="0C7D5B1C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- Le cadre européen du contournement, in S. Laval (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dir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.), Contournement, Optimisation, Evasion : les normes en </w:t>
            </w:r>
            <w:proofErr w:type="gramStart"/>
            <w:r w:rsidRPr="000A1024">
              <w:rPr>
                <w:sz w:val="18"/>
                <w:szCs w:val="18"/>
                <w:lang w:val="fr-FR"/>
              </w:rPr>
              <w:t>danger ?,</w:t>
            </w:r>
            <w:proofErr w:type="gramEnd"/>
            <w:r w:rsidRPr="000A1024">
              <w:rPr>
                <w:sz w:val="18"/>
                <w:szCs w:val="18"/>
                <w:lang w:val="fr-FR"/>
              </w:rPr>
              <w:t> Institut Universitaire Varennes, collection « colloques et essais », 2019, p. 19 </w:t>
            </w:r>
          </w:p>
          <w:p w14:paraId="401CF925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 xml:space="preserve">- Droit de l’Union et droit du travail, les rapports compliqués d’un vieux couple, Revue de l’Union européenne, n° 623, 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Dec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. 2018, p. 650 </w:t>
            </w:r>
          </w:p>
          <w:p w14:paraId="328ECE38" w14:textId="77777777" w:rsidR="00A96A8E" w:rsidRPr="000A1024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</w:p>
          <w:p w14:paraId="2B8A02A7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- Les droits sociaux fondamentaux dans l’Union européenne : quelle force </w:t>
            </w:r>
            <w:proofErr w:type="gramStart"/>
            <w:r w:rsidRPr="000A1024">
              <w:rPr>
                <w:sz w:val="18"/>
                <w:szCs w:val="18"/>
                <w:lang w:val="fr-FR"/>
              </w:rPr>
              <w:t>juridique ?,</w:t>
            </w:r>
            <w:proofErr w:type="gramEnd"/>
            <w:r w:rsidRPr="000A1024">
              <w:rPr>
                <w:sz w:val="18"/>
                <w:szCs w:val="18"/>
                <w:lang w:val="fr-FR"/>
              </w:rPr>
              <w:t> in S.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Barbou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 des Places, E.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Pataut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, P.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Rodière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, Les frontières de l’Europe sociale,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Pédone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, 2018, p. 77 </w:t>
            </w:r>
          </w:p>
          <w:p w14:paraId="68947F02" w14:textId="77777777" w:rsidR="00A96A8E" w:rsidRPr="000A1024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</w:p>
          <w:p w14:paraId="23D94E5D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- L’envahissante irruption de la liberté d’entreprise en Europe, Remarques sur l’arrêt AGET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Iraklis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,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with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 xml:space="preserve"> E.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Pataut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, Mélanges en l’honneur d’Antoine Lyon-Caen, Dalloz, 2018, p. 717 </w:t>
            </w:r>
          </w:p>
          <w:p w14:paraId="62A00912" w14:textId="77777777" w:rsidR="00A96A8E" w:rsidRPr="000A1024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</w:p>
          <w:p w14:paraId="3088D5BA" w14:textId="77777777" w:rsidR="00A96A8E" w:rsidRPr="00A463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r w:rsidRPr="00A4631C">
              <w:rPr>
                <w:sz w:val="18"/>
                <w:szCs w:val="18"/>
              </w:rPr>
              <w:t xml:space="preserve">- Fundamental rights as a new </w:t>
            </w:r>
            <w:proofErr w:type="gramStart"/>
            <w:r w:rsidRPr="00A4631C">
              <w:rPr>
                <w:sz w:val="18"/>
                <w:szCs w:val="18"/>
              </w:rPr>
              <w:t>frame :</w:t>
            </w:r>
            <w:proofErr w:type="gramEnd"/>
            <w:r w:rsidRPr="00A4631C">
              <w:rPr>
                <w:sz w:val="18"/>
                <w:szCs w:val="18"/>
              </w:rPr>
              <w:t> Displacing the acquis, European Constitutional Law Review, Volume 14, n°1, mars 2018, pp. 96 </w:t>
            </w:r>
          </w:p>
          <w:p w14:paraId="0C7C006A" w14:textId="77777777" w:rsidR="00A96A8E" w:rsidRPr="00A4631C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</w:p>
          <w:p w14:paraId="0C288CB2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- Neutraliser la religion dans </w:t>
            </w:r>
            <w:proofErr w:type="gramStart"/>
            <w:r w:rsidRPr="000A1024">
              <w:rPr>
                <w:sz w:val="18"/>
                <w:szCs w:val="18"/>
                <w:lang w:val="fr-FR"/>
              </w:rPr>
              <w:t>l’entreprise ?,</w:t>
            </w:r>
            <w:proofErr w:type="gramEnd"/>
            <w:r w:rsidRPr="000A1024">
              <w:rPr>
                <w:sz w:val="18"/>
                <w:szCs w:val="18"/>
                <w:lang w:val="fr-FR"/>
              </w:rPr>
              <w:t> RTD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eur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. 2017, p. 229 </w:t>
            </w:r>
          </w:p>
          <w:p w14:paraId="0AAA4642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- Questions posées par la multiplication des normes internationales, européennes et nationales et les rapports entre juridictions, Droit social, 2017, p. 419 </w:t>
            </w:r>
          </w:p>
          <w:p w14:paraId="4156114B" w14:textId="77777777" w:rsidR="00A96A8E" w:rsidRPr="000A1024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</w:p>
          <w:p w14:paraId="1DE23062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- The Roma population : a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Bordeline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 Case, in L.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Azoulai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, S.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Barbou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 des Place et E.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Pataut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 (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ed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.),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Constructing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 the Person in EU Law,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Rights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,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Role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, Identity, Hart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Publishing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, 2016,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Chapter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 11, p. 241 </w:t>
            </w:r>
          </w:p>
          <w:p w14:paraId="0966D3AE" w14:textId="77777777" w:rsidR="00A96A8E" w:rsidRPr="000A1024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</w:p>
          <w:p w14:paraId="48D376E7" w14:textId="77777777" w:rsidR="00A96A8E" w:rsidRPr="00A463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r w:rsidRPr="00A4631C">
              <w:rPr>
                <w:sz w:val="18"/>
                <w:szCs w:val="18"/>
              </w:rPr>
              <w:lastRenderedPageBreak/>
              <w:t>- French Labour Law: Testing the Possibility of a Legal Transplant, in Reasonable Accommodation for Religion, and Other Motives, Bulletin of Comparative Labour relations, vol. 93, 2016, p. 145 </w:t>
            </w:r>
          </w:p>
          <w:p w14:paraId="73855AB3" w14:textId="77777777" w:rsidR="00A96A8E" w:rsidRPr="00A4631C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</w:p>
          <w:p w14:paraId="5DF57C9D" w14:textId="77777777" w:rsidR="00A96A8E" w:rsidRPr="00A463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r w:rsidRPr="00A4631C">
              <w:rPr>
                <w:sz w:val="18"/>
                <w:szCs w:val="18"/>
              </w:rPr>
              <w:t xml:space="preserve">- French Approach to the Right to Work: The Potential of a Constitutional Right in Ordinary Courts, in The Right to </w:t>
            </w:r>
            <w:proofErr w:type="gramStart"/>
            <w:r w:rsidRPr="00A4631C">
              <w:rPr>
                <w:sz w:val="18"/>
                <w:szCs w:val="18"/>
              </w:rPr>
              <w:t>Work :</w:t>
            </w:r>
            <w:proofErr w:type="gramEnd"/>
            <w:r w:rsidRPr="00A4631C">
              <w:rPr>
                <w:sz w:val="18"/>
                <w:szCs w:val="18"/>
              </w:rPr>
              <w:t xml:space="preserve"> Legal</w:t>
            </w:r>
            <w:r w:rsidR="00D91355">
              <w:rPr>
                <w:sz w:val="18"/>
                <w:szCs w:val="18"/>
              </w:rPr>
              <w:t xml:space="preserve"> and Philosophical perspectives, V. </w:t>
            </w:r>
            <w:proofErr w:type="spellStart"/>
            <w:r w:rsidR="00D91355">
              <w:rPr>
                <w:sz w:val="18"/>
                <w:szCs w:val="18"/>
              </w:rPr>
              <w:t>Mantouvalou</w:t>
            </w:r>
            <w:proofErr w:type="spellEnd"/>
            <w:r w:rsidR="00D91355">
              <w:rPr>
                <w:sz w:val="18"/>
                <w:szCs w:val="18"/>
              </w:rPr>
              <w:t xml:space="preserve"> (ed.), </w:t>
            </w:r>
            <w:r w:rsidR="00D91355" w:rsidRPr="00A4631C">
              <w:rPr>
                <w:sz w:val="18"/>
                <w:szCs w:val="18"/>
              </w:rPr>
              <w:t>Hart publishing, 2014, p. 195 </w:t>
            </w:r>
          </w:p>
          <w:p w14:paraId="2DBA68FB" w14:textId="77777777" w:rsidR="00A96A8E" w:rsidRPr="00A4631C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</w:p>
          <w:p w14:paraId="635A25C5" w14:textId="77777777" w:rsidR="00A96A8E" w:rsidRPr="00A463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r w:rsidRPr="00A4631C">
              <w:rPr>
                <w:sz w:val="18"/>
                <w:szCs w:val="18"/>
              </w:rPr>
              <w:t xml:space="preserve">- The Evolution of direct effect in the EU: Stocktaking, problems, projections, Int </w:t>
            </w:r>
            <w:r w:rsidR="00D91355">
              <w:rPr>
                <w:sz w:val="18"/>
                <w:szCs w:val="18"/>
              </w:rPr>
              <w:t xml:space="preserve">J </w:t>
            </w:r>
            <w:r w:rsidRPr="00A4631C">
              <w:rPr>
                <w:sz w:val="18"/>
                <w:szCs w:val="18"/>
              </w:rPr>
              <w:t>Constitutional Law (2014) 12(1): 165-188 </w:t>
            </w:r>
          </w:p>
          <w:p w14:paraId="1467E670" w14:textId="77777777" w:rsidR="00A96A8E" w:rsidRPr="00A4631C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</w:p>
          <w:p w14:paraId="7100116E" w14:textId="77777777" w:rsidR="00A96A8E" w:rsidRPr="00A463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r w:rsidRPr="00A4631C">
              <w:rPr>
                <w:sz w:val="18"/>
                <w:szCs w:val="18"/>
              </w:rPr>
              <w:t xml:space="preserve">- La contribution de la </w:t>
            </w:r>
            <w:proofErr w:type="spellStart"/>
            <w:r w:rsidRPr="00A4631C">
              <w:rPr>
                <w:sz w:val="18"/>
                <w:szCs w:val="18"/>
              </w:rPr>
              <w:t>Charte</w:t>
            </w:r>
            <w:proofErr w:type="spellEnd"/>
            <w:r w:rsidRPr="00A4631C">
              <w:rPr>
                <w:sz w:val="18"/>
                <w:szCs w:val="18"/>
              </w:rPr>
              <w:t xml:space="preserve"> des droits </w:t>
            </w:r>
            <w:proofErr w:type="spellStart"/>
            <w:r w:rsidRPr="00A4631C">
              <w:rPr>
                <w:sz w:val="18"/>
                <w:szCs w:val="18"/>
              </w:rPr>
              <w:t>fondamentaux</w:t>
            </w:r>
            <w:proofErr w:type="spellEnd"/>
            <w:r w:rsidRPr="00A4631C">
              <w:rPr>
                <w:sz w:val="18"/>
                <w:szCs w:val="18"/>
              </w:rPr>
              <w:t xml:space="preserve"> à la protection des droits </w:t>
            </w:r>
            <w:proofErr w:type="spellStart"/>
            <w:r w:rsidRPr="00A4631C">
              <w:rPr>
                <w:sz w:val="18"/>
                <w:szCs w:val="18"/>
              </w:rPr>
              <w:t>sociaux</w:t>
            </w:r>
            <w:proofErr w:type="spellEnd"/>
            <w:r w:rsidRPr="00A4631C">
              <w:rPr>
                <w:sz w:val="18"/>
                <w:szCs w:val="18"/>
              </w:rPr>
              <w:t xml:space="preserve"> dans </w:t>
            </w:r>
            <w:proofErr w:type="spellStart"/>
            <w:r w:rsidRPr="00A4631C">
              <w:rPr>
                <w:sz w:val="18"/>
                <w:szCs w:val="18"/>
              </w:rPr>
              <w:t>l’Union</w:t>
            </w:r>
            <w:proofErr w:type="spellEnd"/>
            <w:r w:rsidRPr="00A4631C">
              <w:rPr>
                <w:sz w:val="18"/>
                <w:szCs w:val="18"/>
              </w:rPr>
              <w:t>   </w:t>
            </w:r>
            <w:proofErr w:type="spellStart"/>
            <w:proofErr w:type="gramStart"/>
            <w:r w:rsidRPr="00A4631C">
              <w:rPr>
                <w:sz w:val="18"/>
                <w:szCs w:val="18"/>
              </w:rPr>
              <w:t>européenne</w:t>
            </w:r>
            <w:proofErr w:type="spellEnd"/>
            <w:r w:rsidRPr="00A4631C">
              <w:rPr>
                <w:sz w:val="18"/>
                <w:szCs w:val="18"/>
              </w:rPr>
              <w:t> :</w:t>
            </w:r>
            <w:proofErr w:type="gramEnd"/>
            <w:r w:rsidRPr="00A4631C">
              <w:rPr>
                <w:sz w:val="18"/>
                <w:szCs w:val="18"/>
              </w:rPr>
              <w:t xml:space="preserve"> un premier </w:t>
            </w:r>
            <w:proofErr w:type="spellStart"/>
            <w:r w:rsidRPr="00A4631C">
              <w:rPr>
                <w:sz w:val="18"/>
                <w:szCs w:val="18"/>
              </w:rPr>
              <w:t>bilan</w:t>
            </w:r>
            <w:proofErr w:type="spellEnd"/>
            <w:r w:rsidRPr="00A4631C">
              <w:rPr>
                <w:sz w:val="18"/>
                <w:szCs w:val="18"/>
              </w:rPr>
              <w:t xml:space="preserve"> après </w:t>
            </w:r>
            <w:proofErr w:type="spellStart"/>
            <w:r w:rsidRPr="00A4631C">
              <w:rPr>
                <w:sz w:val="18"/>
                <w:szCs w:val="18"/>
              </w:rPr>
              <w:t>Lisbonne</w:t>
            </w:r>
            <w:proofErr w:type="spellEnd"/>
            <w:r w:rsidRPr="00A4631C">
              <w:rPr>
                <w:sz w:val="18"/>
                <w:szCs w:val="18"/>
              </w:rPr>
              <w:t>, (The Contribution of the Charter of Fundamental Rights to the protection of social rights in the European Union : a first assessment after Lisbon), European Journal of Human Rights, n°1 2013, p. 109 </w:t>
            </w:r>
          </w:p>
          <w:p w14:paraId="2AA99263" w14:textId="77777777" w:rsidR="00A96A8E" w:rsidRPr="00A4631C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</w:p>
          <w:p w14:paraId="4661A952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- Le citoyen européen entre intégration et mobilité, in Vers un principe d’intégration sociale de la personne en droit de l’Union européenne, V. Michel (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ed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.), RAE, 2013, vol. 4, p. 667 </w:t>
            </w:r>
          </w:p>
          <w:p w14:paraId="2BA981F6" w14:textId="77777777" w:rsidR="00A96A8E" w:rsidRPr="000A1024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</w:p>
          <w:p w14:paraId="20EB85AC" w14:textId="77777777" w:rsidR="00A96A8E" w:rsidRPr="00A463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r w:rsidRPr="00A4631C">
              <w:rPr>
                <w:sz w:val="18"/>
                <w:szCs w:val="18"/>
              </w:rPr>
              <w:t>- European Labor Law in times of Economic Crisis</w:t>
            </w:r>
            <w:r w:rsidR="00BF2A00">
              <w:rPr>
                <w:sz w:val="18"/>
                <w:szCs w:val="18"/>
              </w:rPr>
              <w:t>: T</w:t>
            </w:r>
            <w:r w:rsidRPr="00A4631C">
              <w:rPr>
                <w:sz w:val="18"/>
                <w:szCs w:val="18"/>
              </w:rPr>
              <w:t>esting the Resistance of Worker's Rights at the European Union Level», KLRI Journal of Law and Legislation, vol. 2, 2012, p.121</w:t>
            </w:r>
          </w:p>
          <w:p w14:paraId="0673E005" w14:textId="77777777" w:rsidR="00A96A8E" w:rsidRPr="00A4631C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</w:p>
          <w:p w14:paraId="2665CCB3" w14:textId="77777777" w:rsidR="00A96A8E" w:rsidRPr="00A463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r w:rsidRPr="00A4631C">
              <w:rPr>
                <w:sz w:val="18"/>
                <w:szCs w:val="18"/>
              </w:rPr>
              <w:t>- Bargaining in the Shadow of Free Movement of Capital, European Review of Contract Law, issue 2, vol. 8, 2012, p. 167 </w:t>
            </w:r>
          </w:p>
          <w:p w14:paraId="2A6AC14D" w14:textId="77777777" w:rsidR="00A96A8E" w:rsidRPr="00A4631C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</w:p>
          <w:p w14:paraId="5C866B61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- L’émergence de la notion de discrimination indirecte : évolution ou révolution, in La non-discrimination entre les européens, F. Fines, C. Gauthier et M. Gautier (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ed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.),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Pédone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, 2012, p.23 </w:t>
            </w:r>
          </w:p>
          <w:p w14:paraId="2BD26239" w14:textId="77777777" w:rsidR="00A96A8E" w:rsidRPr="000A1024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</w:p>
          <w:p w14:paraId="410EF375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- La mobilité internationale des salariés, Dr. Soc., 2011, p. 897 </w:t>
            </w:r>
          </w:p>
          <w:p w14:paraId="759EA5AB" w14:textId="77777777" w:rsidR="00A96A8E" w:rsidRPr="000A1024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</w:p>
          <w:p w14:paraId="62468CFA" w14:textId="77777777" w:rsidR="00A96A8E" w:rsidRPr="00A463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r w:rsidRPr="00A4631C">
              <w:rPr>
                <w:sz w:val="18"/>
                <w:szCs w:val="18"/>
              </w:rPr>
              <w:t xml:space="preserve">- The Magic of Combination: Uses and Abuses of the Globalization of Sources by European Courts, in European Legal </w:t>
            </w:r>
            <w:proofErr w:type="gramStart"/>
            <w:r w:rsidRPr="00A4631C">
              <w:rPr>
                <w:sz w:val="18"/>
                <w:szCs w:val="18"/>
              </w:rPr>
              <w:t>Method :</w:t>
            </w:r>
            <w:proofErr w:type="gramEnd"/>
            <w:r w:rsidRPr="00A4631C">
              <w:rPr>
                <w:sz w:val="18"/>
                <w:szCs w:val="18"/>
              </w:rPr>
              <w:t> Synthesis or Fragmentation?, U. Neergaard, R. Nielsen et L. Roseberry (ed.), DJØF Publishing, 2011, p. 307 </w:t>
            </w:r>
          </w:p>
          <w:p w14:paraId="479B3666" w14:textId="77777777" w:rsidR="00A96A8E" w:rsidRPr="00A4631C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</w:p>
          <w:p w14:paraId="2882D041" w14:textId="77777777" w:rsidR="00A96A8E" w:rsidRPr="00A463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r w:rsidRPr="000A1024">
              <w:rPr>
                <w:sz w:val="18"/>
                <w:szCs w:val="18"/>
                <w:lang w:val="fr-FR"/>
              </w:rPr>
              <w:t>- Le droit des discriminations en Europe, Contributions pour une construction en cours, numéro spécial (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ed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 xml:space="preserve">. </w:t>
            </w:r>
            <w:r w:rsidRPr="00A4631C">
              <w:rPr>
                <w:sz w:val="18"/>
                <w:szCs w:val="18"/>
              </w:rPr>
              <w:t xml:space="preserve">&amp; introduction), Revue des affaires </w:t>
            </w:r>
            <w:proofErr w:type="spellStart"/>
            <w:r w:rsidRPr="00A4631C">
              <w:rPr>
                <w:sz w:val="18"/>
                <w:szCs w:val="18"/>
              </w:rPr>
              <w:t>européennes</w:t>
            </w:r>
            <w:proofErr w:type="spellEnd"/>
            <w:r w:rsidRPr="00A4631C">
              <w:rPr>
                <w:sz w:val="18"/>
                <w:szCs w:val="18"/>
              </w:rPr>
              <w:t>, 2009-2010/2 </w:t>
            </w:r>
          </w:p>
          <w:p w14:paraId="3D7C285A" w14:textId="77777777" w:rsidR="00A96A8E" w:rsidRPr="00A463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r w:rsidRPr="00A4631C">
              <w:rPr>
                <w:sz w:val="18"/>
                <w:szCs w:val="18"/>
              </w:rPr>
              <w:t> </w:t>
            </w:r>
          </w:p>
          <w:p w14:paraId="5F24DD42" w14:textId="77777777" w:rsidR="00A96A8E" w:rsidRPr="00A463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r w:rsidRPr="00A4631C">
              <w:rPr>
                <w:sz w:val="18"/>
                <w:szCs w:val="18"/>
              </w:rPr>
              <w:t>- A French Reading of Directive 2008/104 on Temporary Agency Work, ELLJ, issue 3, 2010, p. 398 </w:t>
            </w:r>
          </w:p>
          <w:p w14:paraId="244921A4" w14:textId="77777777" w:rsidR="00A96A8E" w:rsidRPr="00A463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r w:rsidRPr="00A4631C">
              <w:rPr>
                <w:sz w:val="18"/>
                <w:szCs w:val="18"/>
              </w:rPr>
              <w:t> </w:t>
            </w:r>
          </w:p>
          <w:p w14:paraId="249C634D" w14:textId="77777777" w:rsidR="00852211" w:rsidRPr="00BA1B6C" w:rsidRDefault="00000000" w:rsidP="00852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</w:pPr>
            <w:r w:rsidRPr="00BA1B6C"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  <w:t xml:space="preserve">NOTES </w:t>
            </w:r>
            <w:r w:rsidR="00BF2A00" w:rsidRPr="00BA1B6C"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  <w:t>ON CASES</w:t>
            </w:r>
          </w:p>
          <w:p w14:paraId="1E9A48D5" w14:textId="77777777" w:rsidR="00BF2A00" w:rsidRPr="00BA1B6C" w:rsidRDefault="00BF2A00" w:rsidP="00852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rFonts w:eastAsia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3E33FE5A" w14:textId="4D3EAEFE" w:rsidR="006336FF" w:rsidRPr="006336FF" w:rsidRDefault="006336FF" w:rsidP="00633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-2" w:firstLineChars="0" w:firstLine="0"/>
              <w:textDirection w:val="lrTb"/>
              <w:rPr>
                <w:sz w:val="18"/>
                <w:szCs w:val="18"/>
                <w:lang w:val="en-US"/>
              </w:rPr>
            </w:pPr>
            <w:bookmarkStart w:id="3" w:name="_heading=h.3znysh7" w:colFirst="0" w:colLast="0"/>
            <w:bookmarkEnd w:id="3"/>
            <w:r>
              <w:rPr>
                <w:sz w:val="18"/>
                <w:szCs w:val="18"/>
                <w:lang w:val="en-US"/>
              </w:rPr>
              <w:t>- The</w:t>
            </w:r>
            <w:r w:rsidRPr="006336FF">
              <w:rPr>
                <w:sz w:val="18"/>
                <w:szCs w:val="18"/>
                <w:lang w:val="en-US"/>
              </w:rPr>
              <w:t xml:space="preserve"> power of the right to an effective remedy to horizontalize Directives, Comment on Case C-715/20, X (Absence de motif de </w:t>
            </w:r>
            <w:proofErr w:type="spellStart"/>
            <w:r>
              <w:rPr>
                <w:sz w:val="18"/>
                <w:szCs w:val="18"/>
                <w:lang w:val="en-US"/>
              </w:rPr>
              <w:t>ré</w:t>
            </w:r>
            <w:r w:rsidRPr="006336FF">
              <w:rPr>
                <w:sz w:val="18"/>
                <w:szCs w:val="18"/>
                <w:lang w:val="en-US"/>
              </w:rPr>
              <w:t>siliation</w:t>
            </w:r>
            <w:proofErr w:type="spellEnd"/>
            <w:r w:rsidRPr="006336FF">
              <w:rPr>
                <w:sz w:val="18"/>
                <w:szCs w:val="18"/>
                <w:lang w:val="en-US"/>
              </w:rPr>
              <w:t>), 20 February 2024</w:t>
            </w:r>
            <w:r>
              <w:rPr>
                <w:sz w:val="18"/>
                <w:szCs w:val="18"/>
                <w:lang w:val="en-US"/>
              </w:rPr>
              <w:t>,</w:t>
            </w:r>
            <w:r w:rsidRPr="006336FF">
              <w:rPr>
                <w:sz w:val="18"/>
                <w:szCs w:val="18"/>
                <w:lang w:val="en-US"/>
              </w:rPr>
              <w:t xml:space="preserve"> Maastricht Journal of European and Comparative Law,, 2025 </w:t>
            </w:r>
            <w:r>
              <w:rPr>
                <w:sz w:val="18"/>
                <w:szCs w:val="18"/>
                <w:lang w:val="en-US"/>
              </w:rPr>
              <w:t>(</w:t>
            </w:r>
            <w:hyperlink r:id="rId20" w:history="1">
              <w:r w:rsidRPr="00715AF5">
                <w:rPr>
                  <w:rStyle w:val="Lienhypertexte"/>
                  <w:sz w:val="18"/>
                  <w:szCs w:val="18"/>
                  <w:lang w:val="en-US"/>
                </w:rPr>
                <w:t>https://doi.org/10.1177/1023263X241309776</w:t>
              </w:r>
            </w:hyperlink>
            <w:r>
              <w:rPr>
                <w:sz w:val="18"/>
                <w:szCs w:val="18"/>
                <w:lang w:val="en-US"/>
              </w:rPr>
              <w:t>)</w:t>
            </w:r>
          </w:p>
          <w:p w14:paraId="1FE8CE46" w14:textId="1A054BF8" w:rsidR="00A96A8E" w:rsidRPr="006336FF" w:rsidRDefault="00633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- </w:t>
            </w:r>
            <w:r w:rsidRPr="000A1024">
              <w:rPr>
                <w:sz w:val="18"/>
                <w:szCs w:val="18"/>
                <w:lang w:val="fr-FR"/>
              </w:rPr>
              <w:t xml:space="preserve">Désamorcer le conflit entre droit de l'UE et droit constitutionnel en renforçant le pouvoir des juges nationaux, À propos de la décision du Conseil d'État du 17 décembre 2021 sur le temps de travail dans la gendarmerie, JCP 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ed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 xml:space="preserve">. </w:t>
            </w:r>
            <w:r w:rsidRPr="006336FF">
              <w:rPr>
                <w:sz w:val="18"/>
                <w:szCs w:val="18"/>
                <w:lang w:val="fr-FR"/>
              </w:rPr>
              <w:t>G, n° 2, 2022, p. 49</w:t>
            </w:r>
          </w:p>
          <w:p w14:paraId="413E246D" w14:textId="77777777" w:rsidR="00A96A8E" w:rsidRPr="000A1024" w:rsidRDefault="00000000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 xml:space="preserve">- Mise en œuvre de l’arrêt Vueling 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airlines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 xml:space="preserve"> de la Cour de justice par la Cour de cassation : les certificats de détachement n’affectent pas l’applicabilité du droit du travail français, Dr. Soc. 2021, p. 737</w:t>
            </w:r>
          </w:p>
          <w:p w14:paraId="08085101" w14:textId="77777777" w:rsidR="00A96A8E" w:rsidRPr="000A1024" w:rsidRDefault="00000000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- Lutte contre la fraude au détachement : la Cour de cassation interprète le droit de l’Union pour faciliter la mise en œuvre de la solidarité financière des donneurs d’ordre, Dr. Soc. 2021, p. 243</w:t>
            </w:r>
          </w:p>
          <w:p w14:paraId="421839F4" w14:textId="77777777" w:rsidR="00A96A8E" w:rsidRPr="000A1024" w:rsidRDefault="00000000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 xml:space="preserve">- Législation de sécurité sociale applicable aux salariés détachés par une entreprise de travail temporaire, 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together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with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 xml:space="preserve"> F. 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Jault-Seseke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, RDT, 2021, p. 468</w:t>
            </w:r>
          </w:p>
          <w:p w14:paraId="36740E06" w14:textId="77777777" w:rsidR="00A96A8E" w:rsidRPr="000A1024" w:rsidRDefault="00000000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- Prendre au sérieux le contrôle de proportionnalité en matière de discrimination religieuse, Bulletin Joly Travail - n°4, 01/04/2021, p. 48</w:t>
            </w:r>
          </w:p>
          <w:p w14:paraId="1D4AC17E" w14:textId="77777777" w:rsidR="00A96A8E" w:rsidRPr="00BF2A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BF2A00">
              <w:rPr>
                <w:sz w:val="18"/>
                <w:szCs w:val="18"/>
                <w:lang w:val="fr-FR"/>
              </w:rPr>
              <w:t>- Le refus de l’assemblée plénière de prendre part au développement du droit du travail international, Droit social, 2019, p. 799 </w:t>
            </w:r>
          </w:p>
          <w:p w14:paraId="57EDB2EC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- Droits fondamentaux et droit du travail, Sur quelques usages récents des droits et libertés fondamentaux, Droit social 2019, p. 509 </w:t>
            </w:r>
          </w:p>
          <w:p w14:paraId="54F5F1C2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- Recrutement dans la police : la taille n’est pas un critère neutre, (CJUE, 18 oct. 2017,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aff.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 C-409/16,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Kalliri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), JCP G, n° 51, 18 déc. 2017, p. 1351 </w:t>
            </w:r>
          </w:p>
          <w:p w14:paraId="7A487A23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lastRenderedPageBreak/>
              <w:t>- Contradiction dans le régime du détachement ? Une comparaison des arrêts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Sähköalojen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ammattiliitto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 et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A-Rosa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,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with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 xml:space="preserve"> F.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Jault-Seseke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, RDT, 2017, p. 562 </w:t>
            </w:r>
          </w:p>
          <w:p w14:paraId="498288AD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- CJUE, 25 févr. 2016,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Stroumpoulis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, C-426/11 (Oublier Viking : Quand la Cour de justice fait primer la législation sociale de l’Union sur la liberté d’organisation des entreprises de transport maritime), RDT, 2016, p. 581 </w:t>
            </w:r>
          </w:p>
          <w:p w14:paraId="2FC22758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- CJUE, 16 jan. 2014,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Onuekwere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, C-378/12 et C-400/12 ; CJUE, 10 juill. 2014, 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Ogieriakhi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>, C-244/13, Annuaire de droit de l’Union européenne 2014, éd. Panthéon Assas, p. 378  </w:t>
            </w:r>
          </w:p>
          <w:p w14:paraId="466C3449" w14:textId="77777777" w:rsidR="00A96A8E" w:rsidRPr="00AF11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r w:rsidRPr="000A1024">
              <w:rPr>
                <w:sz w:val="18"/>
                <w:szCs w:val="18"/>
                <w:lang w:val="fr-FR"/>
              </w:rPr>
              <w:t xml:space="preserve">- Conseil d’Etat, 11 avr. 2012 (L’invocabilité limitée des conventions internationales dans la jurisprudence administrative), JCP G, 2 juill. </w:t>
            </w:r>
            <w:r w:rsidRPr="00AF1144">
              <w:rPr>
                <w:sz w:val="18"/>
                <w:szCs w:val="18"/>
              </w:rPr>
              <w:t>2012, n°27, note 806, p. 1331, with P. Cassia </w:t>
            </w:r>
          </w:p>
          <w:p w14:paraId="401E9BC7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- La protection des travailleurs “atypique” est-elle en régression à la Cour de </w:t>
            </w:r>
            <w:proofErr w:type="gramStart"/>
            <w:r w:rsidRPr="000A1024">
              <w:rPr>
                <w:sz w:val="18"/>
                <w:szCs w:val="18"/>
                <w:lang w:val="fr-FR"/>
              </w:rPr>
              <w:t>Justice ?,</w:t>
            </w:r>
            <w:proofErr w:type="gramEnd"/>
            <w:r w:rsidRPr="000A1024">
              <w:rPr>
                <w:sz w:val="18"/>
                <w:szCs w:val="18"/>
                <w:lang w:val="fr-FR"/>
              </w:rPr>
              <w:t> RDT, 2012, p. 645. </w:t>
            </w:r>
          </w:p>
          <w:p w14:paraId="714AF12A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 </w:t>
            </w:r>
          </w:p>
          <w:p w14:paraId="6312CA39" w14:textId="77777777" w:rsidR="00A96A8E" w:rsidRPr="00BF2A00" w:rsidRDefault="00000000" w:rsidP="00BF2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BF2A00">
              <w:rPr>
                <w:rFonts w:eastAsia="Arial" w:cs="Arial"/>
                <w:color w:val="000000" w:themeColor="text1"/>
                <w:sz w:val="18"/>
                <w:szCs w:val="18"/>
              </w:rPr>
              <w:t>PARTICIPATION TO COLLECTIVE RESEARCH</w:t>
            </w:r>
          </w:p>
          <w:p w14:paraId="62E4D12F" w14:textId="77777777" w:rsidR="00A96A8E" w:rsidRPr="00A4631C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</w:rPr>
            </w:pPr>
          </w:p>
          <w:p w14:paraId="7F39E82A" w14:textId="77777777" w:rsidR="00A96A8E" w:rsidRPr="00A4631C" w:rsidRDefault="00000000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r w:rsidRPr="00A4631C">
              <w:rPr>
                <w:sz w:val="18"/>
                <w:szCs w:val="18"/>
              </w:rPr>
              <w:t xml:space="preserve">- European Added Value Assessment (EAVA) on a legislative initiative of the European Parliament on the topic of ‘Legal migration policy and law’, together with W. P. de Groen, T. </w:t>
            </w:r>
            <w:proofErr w:type="spellStart"/>
            <w:r w:rsidRPr="00A4631C">
              <w:rPr>
                <w:sz w:val="18"/>
                <w:szCs w:val="18"/>
              </w:rPr>
              <w:t>Rossotti</w:t>
            </w:r>
            <w:proofErr w:type="spellEnd"/>
            <w:r w:rsidRPr="00A4631C">
              <w:rPr>
                <w:sz w:val="18"/>
                <w:szCs w:val="18"/>
              </w:rPr>
              <w:t xml:space="preserve">, S. </w:t>
            </w:r>
            <w:proofErr w:type="spellStart"/>
            <w:r w:rsidRPr="00A4631C">
              <w:rPr>
                <w:sz w:val="18"/>
                <w:szCs w:val="18"/>
              </w:rPr>
              <w:t>Barbou</w:t>
            </w:r>
            <w:proofErr w:type="spellEnd"/>
            <w:r w:rsidRPr="00A4631C">
              <w:rPr>
                <w:sz w:val="18"/>
                <w:szCs w:val="18"/>
              </w:rPr>
              <w:t xml:space="preserve"> des Places, N. </w:t>
            </w:r>
            <w:proofErr w:type="spellStart"/>
            <w:r w:rsidRPr="00A4631C">
              <w:rPr>
                <w:sz w:val="18"/>
                <w:szCs w:val="18"/>
              </w:rPr>
              <w:t>Laurentsyeva</w:t>
            </w:r>
            <w:proofErr w:type="spellEnd"/>
            <w:r w:rsidRPr="00A4631C">
              <w:rPr>
                <w:sz w:val="18"/>
                <w:szCs w:val="18"/>
              </w:rPr>
              <w:t xml:space="preserve"> et Y. Giesing, 2021 </w:t>
            </w:r>
          </w:p>
          <w:p w14:paraId="6B8C8944" w14:textId="77777777" w:rsidR="00A96A8E" w:rsidRPr="00A4631C" w:rsidRDefault="00000000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hyperlink r:id="rId21">
              <w:r w:rsidRPr="00A4631C">
                <w:rPr>
                  <w:sz w:val="18"/>
                  <w:szCs w:val="18"/>
                </w:rPr>
                <w:t>https://www.ceps.eu/wp-content/uploads/2021/09/EPRS_STUD_European-added-value-of-EU-legal-migration-policy-and-law.pdf</w:t>
              </w:r>
            </w:hyperlink>
          </w:p>
          <w:p w14:paraId="097AF935" w14:textId="77777777" w:rsidR="00A96A8E" w:rsidRPr="00A4631C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</w:rPr>
            </w:pPr>
          </w:p>
          <w:p w14:paraId="4DB71156" w14:textId="77777777" w:rsidR="00A96A8E" w:rsidRPr="00A463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r w:rsidRPr="00A4631C">
              <w:rPr>
                <w:sz w:val="18"/>
                <w:szCs w:val="18"/>
              </w:rPr>
              <w:t>- Analytical report on the legal situation of third-country workers in the EU as compared to EU mobile workers, Report for the European Commission, with F. </w:t>
            </w:r>
            <w:proofErr w:type="spellStart"/>
            <w:r w:rsidRPr="00A4631C">
              <w:rPr>
                <w:sz w:val="18"/>
                <w:szCs w:val="18"/>
              </w:rPr>
              <w:t>Wollenschläger</w:t>
            </w:r>
            <w:proofErr w:type="spellEnd"/>
            <w:r w:rsidRPr="00A4631C">
              <w:rPr>
                <w:sz w:val="18"/>
                <w:szCs w:val="18"/>
              </w:rPr>
              <w:t>, A. Pieter van der Mei and H. Verschueren, Dec. 2018 ( </w:t>
            </w:r>
            <w:hyperlink r:id="rId22">
              <w:r w:rsidRPr="00A4631C">
                <w:rPr>
                  <w:sz w:val="18"/>
                  <w:szCs w:val="18"/>
                </w:rPr>
                <w:t>https://ec.europa.eu/social/BlobServlet?docId=20576&amp;langId=en</w:t>
              </w:r>
            </w:hyperlink>
            <w:r w:rsidRPr="00A4631C">
              <w:rPr>
                <w:sz w:val="18"/>
                <w:szCs w:val="18"/>
              </w:rPr>
              <w:t>) </w:t>
            </w:r>
          </w:p>
          <w:p w14:paraId="0320FB18" w14:textId="77777777" w:rsidR="00A96A8E" w:rsidRPr="00A4631C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</w:rPr>
            </w:pPr>
          </w:p>
          <w:p w14:paraId="234D7BF2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bookmarkStart w:id="4" w:name="_heading=h.2et92p0" w:colFirst="0" w:colLast="0"/>
            <w:bookmarkEnd w:id="4"/>
            <w:r w:rsidRPr="000A1024">
              <w:rPr>
                <w:sz w:val="18"/>
                <w:szCs w:val="18"/>
                <w:lang w:val="fr-FR"/>
              </w:rPr>
              <w:t xml:space="preserve">- Les aménagements au travail en faveur des travailleurs handicapés : importation et usages d’une catégorie juridique en France et en Belgique, 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Study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A1024">
              <w:rPr>
                <w:sz w:val="18"/>
                <w:szCs w:val="18"/>
                <w:lang w:val="fr-FR"/>
              </w:rPr>
              <w:t>directed</w:t>
            </w:r>
            <w:proofErr w:type="spellEnd"/>
            <w:r w:rsidRPr="000A1024">
              <w:rPr>
                <w:sz w:val="18"/>
                <w:szCs w:val="18"/>
                <w:lang w:val="fr-FR"/>
              </w:rPr>
              <w:t xml:space="preserve"> by A. Lejeune for the Mission de Recherche Droit &amp; Justice, 2015-2017 (en ligne : </w:t>
            </w:r>
            <w:hyperlink r:id="rId23">
              <w:r w:rsidRPr="000A1024">
                <w:rPr>
                  <w:sz w:val="18"/>
                  <w:szCs w:val="18"/>
                  <w:lang w:val="fr-FR"/>
                </w:rPr>
                <w:t>http://www.gip-recherche-justice.fr/wp-content/uploads/2017/10/14-24-RAPPORT-FINAL.pdf</w:t>
              </w:r>
            </w:hyperlink>
            <w:r w:rsidRPr="000A1024">
              <w:rPr>
                <w:sz w:val="18"/>
                <w:szCs w:val="18"/>
                <w:lang w:val="fr-FR"/>
              </w:rPr>
              <w:t>) </w:t>
            </w:r>
          </w:p>
          <w:p w14:paraId="6E98BD8B" w14:textId="77777777" w:rsidR="00A96A8E" w:rsidRPr="00A463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r w:rsidRPr="00A4631C">
              <w:rPr>
                <w:sz w:val="18"/>
                <w:szCs w:val="18"/>
              </w:rPr>
              <w:t>- Effective judicial protection in the framework of Directive 2014/54, Report for the European Commission, with S. </w:t>
            </w:r>
            <w:proofErr w:type="spellStart"/>
            <w:r w:rsidRPr="00A4631C">
              <w:rPr>
                <w:sz w:val="18"/>
                <w:szCs w:val="18"/>
              </w:rPr>
              <w:t>Guibonni</w:t>
            </w:r>
            <w:proofErr w:type="spellEnd"/>
            <w:r w:rsidRPr="00A4631C">
              <w:rPr>
                <w:sz w:val="18"/>
                <w:szCs w:val="18"/>
              </w:rPr>
              <w:t>, 2016 (ec.europa.eu/social/main.jsp?catId=1098&amp;langId=en&amp;moreDocuments=yes) </w:t>
            </w:r>
          </w:p>
          <w:p w14:paraId="74AC6B0A" w14:textId="77777777" w:rsidR="00A96A8E" w:rsidRPr="00A463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r w:rsidRPr="00A4631C">
              <w:rPr>
                <w:sz w:val="18"/>
                <w:szCs w:val="18"/>
              </w:rPr>
              <w:t xml:space="preserve">- The Community Preference Principle in Labour Migration Policy in the European Union, Rapport pour </w:t>
            </w:r>
            <w:proofErr w:type="spellStart"/>
            <w:r w:rsidRPr="00A4631C">
              <w:rPr>
                <w:sz w:val="18"/>
                <w:szCs w:val="18"/>
              </w:rPr>
              <w:t>l’OCDE</w:t>
            </w:r>
            <w:proofErr w:type="spellEnd"/>
            <w:r w:rsidRPr="00A4631C">
              <w:rPr>
                <w:sz w:val="18"/>
                <w:szCs w:val="18"/>
              </w:rPr>
              <w:t>, OECD Social, Employment and Migration Working Papers, No. 182, OECD Publishing, Paris. </w:t>
            </w:r>
            <w:r w:rsidRPr="00A4631C">
              <w:rPr>
                <w:sz w:val="18"/>
                <w:szCs w:val="18"/>
              </w:rPr>
              <w:br/>
            </w:r>
            <w:proofErr w:type="gramStart"/>
            <w:r w:rsidRPr="00A4631C">
              <w:rPr>
                <w:sz w:val="18"/>
                <w:szCs w:val="18"/>
              </w:rPr>
              <w:t>DOI :</w:t>
            </w:r>
            <w:proofErr w:type="gramEnd"/>
            <w:r w:rsidRPr="00A4631C">
              <w:rPr>
                <w:sz w:val="18"/>
                <w:szCs w:val="18"/>
              </w:rPr>
              <w:t> </w:t>
            </w:r>
            <w:hyperlink r:id="rId24">
              <w:r w:rsidRPr="00A4631C">
                <w:rPr>
                  <w:sz w:val="18"/>
                  <w:szCs w:val="18"/>
                </w:rPr>
                <w:t>http://dx.doi.org/10.1787/5jlwxbzcfsq6-en</w:t>
              </w:r>
            </w:hyperlink>
            <w:r w:rsidRPr="00A4631C">
              <w:rPr>
                <w:sz w:val="18"/>
                <w:szCs w:val="18"/>
              </w:rPr>
              <w:t> </w:t>
            </w:r>
          </w:p>
          <w:p w14:paraId="15934E0E" w14:textId="77777777" w:rsidR="00A96A8E" w:rsidRPr="00A4631C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</w:rPr>
            </w:pPr>
          </w:p>
          <w:p w14:paraId="4F262675" w14:textId="77777777" w:rsidR="00A96A8E" w:rsidRPr="00BF2A00" w:rsidRDefault="00000000" w:rsidP="00BF2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BF2A00">
              <w:rPr>
                <w:rFonts w:eastAsia="Arial" w:cs="Arial"/>
                <w:color w:val="000000" w:themeColor="text1"/>
                <w:sz w:val="18"/>
                <w:szCs w:val="18"/>
              </w:rPr>
              <w:t>CONTRIBUTIONS TO PUBLIC DEBATE</w:t>
            </w:r>
          </w:p>
          <w:p w14:paraId="059E3943" w14:textId="77777777" w:rsidR="00A96A8E" w:rsidRPr="00A4631C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</w:rPr>
            </w:pPr>
          </w:p>
          <w:p w14:paraId="22078241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- Directive sur la transparence des salaires : de vrais changements… en 2026</w:t>
            </w:r>
          </w:p>
          <w:p w14:paraId="151CB2F6" w14:textId="77777777" w:rsidR="00A96A8E" w:rsidRPr="000A10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  <w:r w:rsidRPr="000A1024">
              <w:rPr>
                <w:sz w:val="18"/>
                <w:szCs w:val="18"/>
                <w:lang w:val="fr-FR"/>
              </w:rPr>
              <w:t>https://www.leclubdesjuristes.com/justice/directive-sur-la-transparence-des-salaires-de-vrais-changements-en-2026-5604/</w:t>
            </w:r>
          </w:p>
          <w:p w14:paraId="090A3574" w14:textId="77777777" w:rsidR="00A96A8E" w:rsidRPr="000A1024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  <w:lang w:val="fr-FR"/>
              </w:rPr>
            </w:pPr>
          </w:p>
          <w:p w14:paraId="67B14B73" w14:textId="77777777" w:rsidR="00A96A8E" w:rsidRPr="00A4631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 w:line="240" w:lineRule="auto"/>
              <w:ind w:left="0" w:hanging="2"/>
              <w:textDirection w:val="lrTb"/>
              <w:rPr>
                <w:sz w:val="18"/>
                <w:szCs w:val="18"/>
              </w:rPr>
            </w:pPr>
            <w:r w:rsidRPr="00A4631C">
              <w:rPr>
                <w:sz w:val="18"/>
                <w:szCs w:val="18"/>
              </w:rPr>
              <w:t>- Horizontal application of article 31(2) of the Charter of fundamental rights by the French Cour de cassation: implementation of EU law desperately needs judges, Op-Ed, EU Law Live, 16 Oct. 2023</w:t>
            </w:r>
          </w:p>
        </w:tc>
      </w:tr>
    </w:tbl>
    <w:p w14:paraId="33EA9339" w14:textId="77777777" w:rsidR="00A96A8E" w:rsidRDefault="00A96A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e"/>
        <w:tblpPr w:topFromText="85" w:vertAnchor="text" w:tblpY="85"/>
        <w:tblW w:w="28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4"/>
      </w:tblGrid>
      <w:tr w:rsidR="00A96A8E" w14:paraId="39183DB6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491EAE79" w14:textId="77777777" w:rsidR="00A96A8E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textDirection w:val="lrTb"/>
              <w:rPr>
                <w:rFonts w:eastAsia="Arial" w:cs="Arial"/>
                <w:color w:val="0E4194"/>
                <w:sz w:val="18"/>
                <w:szCs w:val="18"/>
              </w:rPr>
            </w:pPr>
          </w:p>
        </w:tc>
      </w:tr>
      <w:tr w:rsidR="00A96A8E" w14:paraId="278706AA" w14:textId="77777777">
        <w:trPr>
          <w:cantSplit/>
          <w:trHeight w:val="680"/>
        </w:trPr>
        <w:tc>
          <w:tcPr>
            <w:tcW w:w="2834" w:type="dxa"/>
            <w:vMerge/>
          </w:tcPr>
          <w:p w14:paraId="72043C37" w14:textId="77777777" w:rsidR="00A96A8E" w:rsidRDefault="00A96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eastAsia="Arial" w:cs="Arial"/>
                <w:color w:val="0E4194"/>
                <w:sz w:val="18"/>
                <w:szCs w:val="18"/>
              </w:rPr>
            </w:pPr>
          </w:p>
        </w:tc>
      </w:tr>
      <w:tr w:rsidR="00A96A8E" w14:paraId="5683CDEA" w14:textId="77777777">
        <w:trPr>
          <w:trHeight w:val="283"/>
        </w:trPr>
        <w:tc>
          <w:tcPr>
            <w:tcW w:w="2834" w:type="dxa"/>
            <w:vAlign w:val="center"/>
          </w:tcPr>
          <w:p w14:paraId="021764D4" w14:textId="77777777" w:rsidR="00A96A8E" w:rsidRDefault="00A96A8E">
            <w:pPr>
              <w:ind w:left="0" w:hanging="2"/>
              <w:textDirection w:val="lrTb"/>
            </w:pPr>
          </w:p>
        </w:tc>
      </w:tr>
    </w:tbl>
    <w:p w14:paraId="197F6CFE" w14:textId="77777777" w:rsidR="00A96A8E" w:rsidRDefault="00A96A8E">
      <w:pPr>
        <w:tabs>
          <w:tab w:val="left" w:pos="3927"/>
        </w:tabs>
        <w:ind w:left="0" w:hanging="2"/>
      </w:pPr>
    </w:p>
    <w:p w14:paraId="488514BB" w14:textId="77777777" w:rsidR="00A96A8E" w:rsidRDefault="00A96A8E">
      <w:pPr>
        <w:tabs>
          <w:tab w:val="left" w:pos="3927"/>
        </w:tabs>
        <w:ind w:left="0" w:hanging="2"/>
      </w:pPr>
    </w:p>
    <w:sectPr w:rsidR="00A96A8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927" w:right="680" w:bottom="1474" w:left="850" w:header="68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F09CB" w14:textId="77777777" w:rsidR="00C040D3" w:rsidRDefault="00C040D3">
      <w:pPr>
        <w:spacing w:line="240" w:lineRule="auto"/>
        <w:ind w:left="0" w:hanging="2"/>
      </w:pPr>
      <w:r>
        <w:separator/>
      </w:r>
    </w:p>
  </w:endnote>
  <w:endnote w:type="continuationSeparator" w:id="0">
    <w:p w14:paraId="087F8A1A" w14:textId="77777777" w:rsidR="00C040D3" w:rsidRDefault="00C040D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Symbol"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DC1F5" w14:textId="77777777" w:rsidR="00A96A8E" w:rsidRDefault="00000000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10205"/>
        <w:tab w:val="left" w:pos="2835"/>
        <w:tab w:val="right" w:pos="10375"/>
      </w:tabs>
      <w:spacing w:line="240" w:lineRule="auto"/>
      <w:rPr>
        <w:rFonts w:eastAsia="Arial" w:cs="Arial"/>
        <w:color w:val="1593CB"/>
        <w:szCs w:val="16"/>
      </w:rPr>
    </w:pPr>
    <w:r>
      <w:rPr>
        <w:rFonts w:eastAsia="Arial" w:cs="Arial"/>
        <w:color w:val="1593CB"/>
        <w:sz w:val="14"/>
        <w:szCs w:val="14"/>
      </w:rPr>
      <w:t>3/6/20</w:t>
    </w:r>
    <w:r>
      <w:rPr>
        <w:rFonts w:eastAsia="Arial" w:cs="Arial"/>
        <w:color w:val="26B4EA"/>
        <w:sz w:val="14"/>
        <w:szCs w:val="14"/>
      </w:rPr>
      <w:t xml:space="preserve"> </w:t>
    </w:r>
    <w:r>
      <w:rPr>
        <w:rFonts w:eastAsia="Arial" w:cs="Arial"/>
        <w:color w:val="26B4EA"/>
        <w:sz w:val="14"/>
        <w:szCs w:val="14"/>
      </w:rPr>
      <w:tab/>
      <w:t xml:space="preserve"> </w:t>
    </w:r>
    <w:r>
      <w:rPr>
        <w:rFonts w:eastAsia="Arial" w:cs="Arial"/>
        <w:color w:val="1593CB"/>
        <w:sz w:val="14"/>
        <w:szCs w:val="14"/>
      </w:rPr>
      <w:t xml:space="preserve">© European Union, 2002-2020 | http://europass.cedefop.europa.eu </w:t>
    </w:r>
    <w:r>
      <w:rPr>
        <w:rFonts w:eastAsia="Arial" w:cs="Arial"/>
        <w:color w:val="26B4EA"/>
        <w:sz w:val="14"/>
        <w:szCs w:val="14"/>
      </w:rPr>
      <w:tab/>
      <w:t xml:space="preserve"> </w:t>
    </w:r>
    <w:r>
      <w:rPr>
        <w:rFonts w:eastAsia="Arial" w:cs="Arial"/>
        <w:color w:val="1593CB"/>
        <w:sz w:val="14"/>
        <w:szCs w:val="14"/>
      </w:rPr>
      <w:t xml:space="preserve">Page </w:t>
    </w:r>
    <w:r>
      <w:rPr>
        <w:rFonts w:eastAsia="Arial" w:cs="Arial"/>
        <w:color w:val="1593CB"/>
        <w:sz w:val="14"/>
        <w:szCs w:val="14"/>
      </w:rPr>
      <w:fldChar w:fldCharType="begin"/>
    </w:r>
    <w:r>
      <w:rPr>
        <w:rFonts w:eastAsia="Arial" w:cs="Arial"/>
        <w:color w:val="1593CB"/>
        <w:sz w:val="14"/>
        <w:szCs w:val="14"/>
      </w:rPr>
      <w:instrText>PAGE</w:instrText>
    </w:r>
    <w:r>
      <w:rPr>
        <w:rFonts w:eastAsia="Arial" w:cs="Arial"/>
        <w:color w:val="1593CB"/>
        <w:sz w:val="14"/>
        <w:szCs w:val="14"/>
      </w:rPr>
      <w:fldChar w:fldCharType="separate"/>
    </w:r>
    <w:r w:rsidR="000A1F90">
      <w:rPr>
        <w:rFonts w:eastAsia="Arial" w:cs="Arial"/>
        <w:noProof/>
        <w:color w:val="1593CB"/>
        <w:sz w:val="14"/>
        <w:szCs w:val="14"/>
      </w:rPr>
      <w:t>2</w:t>
    </w:r>
    <w:r>
      <w:rPr>
        <w:rFonts w:eastAsia="Arial" w:cs="Arial"/>
        <w:color w:val="1593CB"/>
        <w:sz w:val="14"/>
        <w:szCs w:val="14"/>
      </w:rPr>
      <w:fldChar w:fldCharType="end"/>
    </w:r>
    <w:r>
      <w:rPr>
        <w:rFonts w:eastAsia="Arial" w:cs="Arial"/>
        <w:color w:val="26B4EA"/>
        <w:sz w:val="14"/>
        <w:szCs w:val="14"/>
      </w:rPr>
      <w:t xml:space="preserve"> </w:t>
    </w:r>
    <w:r>
      <w:rPr>
        <w:rFonts w:eastAsia="Arial" w:cs="Arial"/>
        <w:color w:val="1593CB"/>
        <w:sz w:val="14"/>
        <w:szCs w:val="14"/>
      </w:rPr>
      <w:t xml:space="preserve">/ </w:t>
    </w:r>
    <w:r>
      <w:rPr>
        <w:rFonts w:eastAsia="Arial" w:cs="Arial"/>
        <w:color w:val="1593CB"/>
        <w:sz w:val="14"/>
        <w:szCs w:val="14"/>
      </w:rPr>
      <w:fldChar w:fldCharType="begin"/>
    </w:r>
    <w:r>
      <w:rPr>
        <w:rFonts w:eastAsia="Arial" w:cs="Arial"/>
        <w:color w:val="1593CB"/>
        <w:sz w:val="14"/>
        <w:szCs w:val="14"/>
      </w:rPr>
      <w:instrText>NUMPAGES</w:instrText>
    </w:r>
    <w:r>
      <w:rPr>
        <w:rFonts w:eastAsia="Arial" w:cs="Arial"/>
        <w:color w:val="1593CB"/>
        <w:sz w:val="14"/>
        <w:szCs w:val="14"/>
      </w:rPr>
      <w:fldChar w:fldCharType="separate"/>
    </w:r>
    <w:r w:rsidR="000A1F90">
      <w:rPr>
        <w:rFonts w:eastAsia="Arial" w:cs="Arial"/>
        <w:noProof/>
        <w:color w:val="1593CB"/>
        <w:sz w:val="14"/>
        <w:szCs w:val="14"/>
      </w:rPr>
      <w:t>2</w:t>
    </w:r>
    <w:r>
      <w:rPr>
        <w:rFonts w:eastAsia="Arial" w:cs="Arial"/>
        <w:color w:val="1593CB"/>
        <w:sz w:val="14"/>
        <w:szCs w:val="14"/>
      </w:rPr>
      <w:fldChar w:fldCharType="end"/>
    </w:r>
    <w:r>
      <w:rPr>
        <w:rFonts w:eastAsia="Arial" w:cs="Arial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02EF" w14:textId="77777777" w:rsidR="00A96A8E" w:rsidRDefault="00000000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10205"/>
        <w:tab w:val="left" w:pos="2835"/>
        <w:tab w:val="right" w:pos="10375"/>
      </w:tabs>
      <w:spacing w:line="240" w:lineRule="auto"/>
      <w:rPr>
        <w:rFonts w:eastAsia="Arial" w:cs="Arial"/>
        <w:color w:val="1593CB"/>
        <w:szCs w:val="16"/>
      </w:rPr>
    </w:pPr>
    <w:r>
      <w:rPr>
        <w:rFonts w:eastAsia="Arial" w:cs="Arial"/>
        <w:color w:val="1593CB"/>
        <w:sz w:val="14"/>
        <w:szCs w:val="14"/>
      </w:rPr>
      <w:t>3/6/20</w:t>
    </w:r>
    <w:r>
      <w:rPr>
        <w:rFonts w:eastAsia="Arial" w:cs="Arial"/>
        <w:color w:val="26B4EA"/>
        <w:sz w:val="14"/>
        <w:szCs w:val="14"/>
      </w:rPr>
      <w:t xml:space="preserve"> </w:t>
    </w:r>
    <w:r>
      <w:rPr>
        <w:rFonts w:eastAsia="Arial" w:cs="Arial"/>
        <w:color w:val="26B4EA"/>
        <w:sz w:val="14"/>
        <w:szCs w:val="14"/>
      </w:rPr>
      <w:tab/>
      <w:t xml:space="preserve"> </w:t>
    </w:r>
    <w:r>
      <w:rPr>
        <w:rFonts w:eastAsia="Arial" w:cs="Arial"/>
        <w:color w:val="1593CB"/>
        <w:sz w:val="14"/>
        <w:szCs w:val="14"/>
      </w:rPr>
      <w:t xml:space="preserve">© European Union, 2002-2020 | http://europass.cedefop.europa.eu </w:t>
    </w:r>
    <w:r>
      <w:rPr>
        <w:rFonts w:eastAsia="Arial" w:cs="Arial"/>
        <w:color w:val="26B4EA"/>
        <w:sz w:val="14"/>
        <w:szCs w:val="14"/>
      </w:rPr>
      <w:tab/>
      <w:t xml:space="preserve"> </w:t>
    </w:r>
    <w:r>
      <w:rPr>
        <w:rFonts w:eastAsia="Arial" w:cs="Arial"/>
        <w:color w:val="1593CB"/>
        <w:sz w:val="14"/>
        <w:szCs w:val="14"/>
      </w:rPr>
      <w:t xml:space="preserve">Page </w:t>
    </w:r>
    <w:r>
      <w:rPr>
        <w:rFonts w:eastAsia="Arial" w:cs="Arial"/>
        <w:color w:val="1593CB"/>
        <w:sz w:val="14"/>
        <w:szCs w:val="14"/>
      </w:rPr>
      <w:fldChar w:fldCharType="begin"/>
    </w:r>
    <w:r>
      <w:rPr>
        <w:rFonts w:eastAsia="Arial" w:cs="Arial"/>
        <w:color w:val="1593CB"/>
        <w:sz w:val="14"/>
        <w:szCs w:val="14"/>
      </w:rPr>
      <w:instrText>PAGE</w:instrText>
    </w:r>
    <w:r>
      <w:rPr>
        <w:rFonts w:eastAsia="Arial" w:cs="Arial"/>
        <w:color w:val="1593CB"/>
        <w:sz w:val="14"/>
        <w:szCs w:val="14"/>
      </w:rPr>
      <w:fldChar w:fldCharType="separate"/>
    </w:r>
    <w:r w:rsidR="000A1F90">
      <w:rPr>
        <w:rFonts w:eastAsia="Arial" w:cs="Arial"/>
        <w:noProof/>
        <w:color w:val="1593CB"/>
        <w:sz w:val="14"/>
        <w:szCs w:val="14"/>
      </w:rPr>
      <w:t>1</w:t>
    </w:r>
    <w:r>
      <w:rPr>
        <w:rFonts w:eastAsia="Arial" w:cs="Arial"/>
        <w:color w:val="1593CB"/>
        <w:sz w:val="14"/>
        <w:szCs w:val="14"/>
      </w:rPr>
      <w:fldChar w:fldCharType="end"/>
    </w:r>
    <w:r>
      <w:rPr>
        <w:rFonts w:eastAsia="Arial" w:cs="Arial"/>
        <w:color w:val="26B4EA"/>
        <w:sz w:val="14"/>
        <w:szCs w:val="14"/>
      </w:rPr>
      <w:t xml:space="preserve"> </w:t>
    </w:r>
    <w:r>
      <w:rPr>
        <w:rFonts w:eastAsia="Arial" w:cs="Arial"/>
        <w:color w:val="1593CB"/>
        <w:sz w:val="14"/>
        <w:szCs w:val="14"/>
      </w:rPr>
      <w:t xml:space="preserve">/ </w:t>
    </w:r>
    <w:r>
      <w:rPr>
        <w:rFonts w:eastAsia="Arial" w:cs="Arial"/>
        <w:color w:val="1593CB"/>
        <w:sz w:val="14"/>
        <w:szCs w:val="14"/>
      </w:rPr>
      <w:fldChar w:fldCharType="begin"/>
    </w:r>
    <w:r>
      <w:rPr>
        <w:rFonts w:eastAsia="Arial" w:cs="Arial"/>
        <w:color w:val="1593CB"/>
        <w:sz w:val="14"/>
        <w:szCs w:val="14"/>
      </w:rPr>
      <w:instrText>NUMPAGES</w:instrText>
    </w:r>
    <w:r>
      <w:rPr>
        <w:rFonts w:eastAsia="Arial" w:cs="Arial"/>
        <w:color w:val="1593CB"/>
        <w:sz w:val="14"/>
        <w:szCs w:val="14"/>
      </w:rPr>
      <w:fldChar w:fldCharType="separate"/>
    </w:r>
    <w:r w:rsidR="000A1F90">
      <w:rPr>
        <w:rFonts w:eastAsia="Arial" w:cs="Arial"/>
        <w:noProof/>
        <w:color w:val="1593CB"/>
        <w:sz w:val="14"/>
        <w:szCs w:val="14"/>
      </w:rPr>
      <w:t>2</w:t>
    </w:r>
    <w:r>
      <w:rPr>
        <w:rFonts w:eastAsia="Arial" w:cs="Arial"/>
        <w:color w:val="1593CB"/>
        <w:sz w:val="14"/>
        <w:szCs w:val="14"/>
      </w:rPr>
      <w:fldChar w:fldCharType="end"/>
    </w:r>
    <w:r>
      <w:rPr>
        <w:rFonts w:eastAsia="Arial" w:cs="Arial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2117C" w14:textId="77777777" w:rsidR="00A96A8E" w:rsidRDefault="00A96A8E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8B42E" w14:textId="77777777" w:rsidR="00C040D3" w:rsidRDefault="00C040D3">
      <w:pPr>
        <w:spacing w:line="240" w:lineRule="auto"/>
        <w:ind w:left="0" w:hanging="2"/>
      </w:pPr>
      <w:r>
        <w:separator/>
      </w:r>
    </w:p>
  </w:footnote>
  <w:footnote w:type="continuationSeparator" w:id="0">
    <w:p w14:paraId="2852F9E7" w14:textId="77777777" w:rsidR="00C040D3" w:rsidRDefault="00C040D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AD5D7" w14:textId="77777777" w:rsidR="00A96A8E" w:rsidRDefault="00A96A8E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206"/>
      </w:tabs>
      <w:spacing w:line="240" w:lineRule="auto"/>
      <w:ind w:left="0" w:hanging="2"/>
      <w:rPr>
        <w:rFonts w:eastAsia="Arial" w:cs="Arial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84C2" w14:textId="77777777" w:rsidR="00A96A8E" w:rsidRDefault="00000000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205"/>
      </w:tabs>
      <w:spacing w:before="329" w:line="240" w:lineRule="auto"/>
      <w:ind w:left="0" w:hanging="2"/>
      <w:rPr>
        <w:rFonts w:eastAsia="Arial" w:cs="Arial"/>
        <w:color w:val="1593CB"/>
        <w:sz w:val="20"/>
        <w:szCs w:val="20"/>
      </w:rPr>
    </w:pPr>
    <w:r>
      <w:rPr>
        <w:rFonts w:eastAsia="Arial" w:cs="Arial"/>
        <w:color w:val="1593CB"/>
        <w:sz w:val="20"/>
        <w:szCs w:val="20"/>
      </w:rPr>
      <w:t xml:space="preserve"> </w:t>
    </w:r>
    <w:r>
      <w:rPr>
        <w:rFonts w:eastAsia="Arial" w:cs="Arial"/>
        <w:color w:val="1593CB"/>
        <w:sz w:val="20"/>
        <w:szCs w:val="20"/>
      </w:rPr>
      <w:tab/>
      <w:t>Curriculum vitae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6B2F6F90" wp14:editId="15D7CDF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0" b="0"/>
          <wp:wrapSquare wrapText="bothSides" distT="0" distB="0" distL="0" distR="0"/>
          <wp:docPr id="10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6075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6A8E" w14:textId="77777777" w:rsidR="00A96A8E" w:rsidRDefault="00A96A8E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F43"/>
    <w:multiLevelType w:val="hybridMultilevel"/>
    <w:tmpl w:val="7C74DFAE"/>
    <w:lvl w:ilvl="0" w:tplc="E75C3FDE">
      <w:start w:val="2007"/>
      <w:numFmt w:val="bullet"/>
      <w:lvlText w:val="-"/>
      <w:lvlJc w:val="left"/>
      <w:pPr>
        <w:ind w:left="358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11EF43CF"/>
    <w:multiLevelType w:val="multilevel"/>
    <w:tmpl w:val="3A78992E"/>
    <w:lvl w:ilvl="0">
      <w:start w:val="1"/>
      <w:numFmt w:val="decimal"/>
      <w:pStyle w:val="Titre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Titre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17595787"/>
    <w:multiLevelType w:val="hybridMultilevel"/>
    <w:tmpl w:val="07D6215A"/>
    <w:lvl w:ilvl="0" w:tplc="645A67BC">
      <w:start w:val="2007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177338F9"/>
    <w:multiLevelType w:val="hybridMultilevel"/>
    <w:tmpl w:val="41720A4C"/>
    <w:lvl w:ilvl="0" w:tplc="46A212B6">
      <w:start w:val="2007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61FBE"/>
    <w:multiLevelType w:val="hybridMultilevel"/>
    <w:tmpl w:val="7AD01EBC"/>
    <w:lvl w:ilvl="0" w:tplc="76FE4F7A">
      <w:start w:val="2007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38B66C3D"/>
    <w:multiLevelType w:val="hybridMultilevel"/>
    <w:tmpl w:val="832831F4"/>
    <w:lvl w:ilvl="0" w:tplc="4D6A6F54">
      <w:start w:val="2007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 w15:restartNumberingAfterBreak="0">
    <w:nsid w:val="470124F5"/>
    <w:multiLevelType w:val="hybridMultilevel"/>
    <w:tmpl w:val="25FA304A"/>
    <w:lvl w:ilvl="0" w:tplc="C8DAD5CA">
      <w:start w:val="2007"/>
      <w:numFmt w:val="bullet"/>
      <w:lvlText w:val="-"/>
      <w:lvlJc w:val="left"/>
      <w:pPr>
        <w:ind w:left="358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49FD26BB"/>
    <w:multiLevelType w:val="hybridMultilevel"/>
    <w:tmpl w:val="14705F98"/>
    <w:lvl w:ilvl="0" w:tplc="7D6ACE0A">
      <w:start w:val="2007"/>
      <w:numFmt w:val="bullet"/>
      <w:lvlText w:val="-"/>
      <w:lvlJc w:val="left"/>
      <w:pPr>
        <w:ind w:left="358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 w15:restartNumberingAfterBreak="0">
    <w:nsid w:val="4EEE42A3"/>
    <w:multiLevelType w:val="multilevel"/>
    <w:tmpl w:val="32C2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584EEE"/>
    <w:multiLevelType w:val="hybridMultilevel"/>
    <w:tmpl w:val="4FA6240A"/>
    <w:lvl w:ilvl="0" w:tplc="2E668590">
      <w:start w:val="2007"/>
      <w:numFmt w:val="bullet"/>
      <w:lvlText w:val="-"/>
      <w:lvlJc w:val="left"/>
      <w:pPr>
        <w:ind w:left="358" w:hanging="360"/>
      </w:pPr>
      <w:rPr>
        <w:rFonts w:ascii="Arial" w:eastAsia="SimSun" w:hAnsi="Arial" w:cs="Arial" w:hint="default"/>
        <w:color w:val="222222"/>
        <w:sz w:val="16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0" w15:restartNumberingAfterBreak="0">
    <w:nsid w:val="73F97885"/>
    <w:multiLevelType w:val="hybridMultilevel"/>
    <w:tmpl w:val="115C5CE2"/>
    <w:lvl w:ilvl="0" w:tplc="58788CE0">
      <w:numFmt w:val="bullet"/>
      <w:lvlText w:val="-"/>
      <w:lvlJc w:val="left"/>
      <w:pPr>
        <w:ind w:left="358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784009792">
    <w:abstractNumId w:val="1"/>
  </w:num>
  <w:num w:numId="2" w16cid:durableId="1303804123">
    <w:abstractNumId w:val="8"/>
  </w:num>
  <w:num w:numId="3" w16cid:durableId="24450109">
    <w:abstractNumId w:val="9"/>
  </w:num>
  <w:num w:numId="4" w16cid:durableId="610404306">
    <w:abstractNumId w:val="5"/>
  </w:num>
  <w:num w:numId="5" w16cid:durableId="1263565703">
    <w:abstractNumId w:val="4"/>
  </w:num>
  <w:num w:numId="6" w16cid:durableId="1196112387">
    <w:abstractNumId w:val="2"/>
  </w:num>
  <w:num w:numId="7" w16cid:durableId="499541224">
    <w:abstractNumId w:val="6"/>
  </w:num>
  <w:num w:numId="8" w16cid:durableId="1531916535">
    <w:abstractNumId w:val="7"/>
  </w:num>
  <w:num w:numId="9" w16cid:durableId="96871765">
    <w:abstractNumId w:val="0"/>
  </w:num>
  <w:num w:numId="10" w16cid:durableId="123813902">
    <w:abstractNumId w:val="3"/>
  </w:num>
  <w:num w:numId="11" w16cid:durableId="1167551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8E"/>
    <w:rsid w:val="00051735"/>
    <w:rsid w:val="000A1024"/>
    <w:rsid w:val="000A1F90"/>
    <w:rsid w:val="000D31AA"/>
    <w:rsid w:val="001630F1"/>
    <w:rsid w:val="001B37D7"/>
    <w:rsid w:val="0026650C"/>
    <w:rsid w:val="0029228B"/>
    <w:rsid w:val="0031785C"/>
    <w:rsid w:val="003B22C1"/>
    <w:rsid w:val="003D6AE0"/>
    <w:rsid w:val="0043078B"/>
    <w:rsid w:val="0048559A"/>
    <w:rsid w:val="00551BCB"/>
    <w:rsid w:val="005F6C31"/>
    <w:rsid w:val="006336FF"/>
    <w:rsid w:val="006374AF"/>
    <w:rsid w:val="006A573D"/>
    <w:rsid w:val="00852211"/>
    <w:rsid w:val="00864062"/>
    <w:rsid w:val="00872E5C"/>
    <w:rsid w:val="00972E77"/>
    <w:rsid w:val="00A4631C"/>
    <w:rsid w:val="00A83863"/>
    <w:rsid w:val="00A96A8E"/>
    <w:rsid w:val="00AF1144"/>
    <w:rsid w:val="00B916E8"/>
    <w:rsid w:val="00BA1B6C"/>
    <w:rsid w:val="00BF2A00"/>
    <w:rsid w:val="00C03454"/>
    <w:rsid w:val="00C040D3"/>
    <w:rsid w:val="00C342CF"/>
    <w:rsid w:val="00D22BCB"/>
    <w:rsid w:val="00D8499E"/>
    <w:rsid w:val="00D91355"/>
    <w:rsid w:val="00F529C9"/>
    <w:rsid w:val="00F7407E"/>
    <w:rsid w:val="00F8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7A8A"/>
  <w15:docId w15:val="{73A1635F-F327-D241-80AF-78A54F7D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F3A38"/>
        <w:sz w:val="16"/>
        <w:szCs w:val="16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Mangal"/>
      <w:spacing w:val="-6"/>
      <w:kern w:val="1"/>
      <w:position w:val="-1"/>
      <w:szCs w:val="24"/>
      <w:lang w:val="en-GB" w:eastAsia="zh-CN" w:bidi="hi-IN"/>
    </w:rPr>
  </w:style>
  <w:style w:type="paragraph" w:styleId="Titre1">
    <w:name w:val="heading 1"/>
    <w:basedOn w:val="Heading"/>
    <w:next w:val="Corpsdetexte"/>
    <w:uiPriority w:val="9"/>
    <w:qFormat/>
    <w:pPr>
      <w:numPr>
        <w:numId w:val="1"/>
      </w:numPr>
      <w:ind w:left="-1" w:hanging="1"/>
    </w:pPr>
    <w:rPr>
      <w:b/>
      <w:bCs/>
      <w:sz w:val="32"/>
      <w:szCs w:val="32"/>
    </w:rPr>
  </w:style>
  <w:style w:type="paragraph" w:styleId="Titre2">
    <w:name w:val="heading 2"/>
    <w:basedOn w:val="Heading"/>
    <w:next w:val="Corpsdetexte"/>
    <w:uiPriority w:val="9"/>
    <w:unhideWhenUsed/>
    <w:qFormat/>
    <w:pPr>
      <w:numPr>
        <w:ilvl w:val="1"/>
        <w:numId w:val="1"/>
      </w:numPr>
      <w:ind w:left="-1" w:hanging="1"/>
      <w:outlineLvl w:val="1"/>
    </w:pPr>
    <w:rPr>
      <w:b/>
      <w:bCs/>
      <w:i/>
      <w:iCs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widowControl/>
      <w:suppressAutoHyphens/>
      <w:spacing w:before="40" w:line="240" w:lineRule="atLeast"/>
      <w:outlineLvl w:val="4"/>
    </w:pPr>
    <w:rPr>
      <w:rFonts w:ascii="Calibri Light" w:eastAsia="Times New Roman" w:hAnsi="Calibri Light" w:cs="Times New Roman"/>
      <w:color w:val="2F5496"/>
      <w:spacing w:val="0"/>
      <w:kern w:val="0"/>
      <w:sz w:val="20"/>
      <w:lang w:bidi="ar-SA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ECVHeadingContactDetails">
    <w:name w:val="_ECV_HeadingContactDetails"/>
    <w:rPr>
      <w:rFonts w:ascii="Arial" w:hAnsi="Arial"/>
      <w:color w:val="1593CB"/>
      <w:w w:val="100"/>
      <w:position w:val="-1"/>
      <w:sz w:val="18"/>
      <w:szCs w:val="18"/>
      <w:effect w:val="none"/>
      <w:shd w:val="clear" w:color="auto" w:fill="auto"/>
      <w:vertAlign w:val="baseline"/>
      <w:cs w:val="0"/>
      <w:em w:val="none"/>
    </w:rPr>
  </w:style>
  <w:style w:type="character" w:customStyle="1" w:styleId="ECVContactDetails">
    <w:name w:val="_ECV_ContactDetails"/>
    <w:rPr>
      <w:rFonts w:ascii="Arial" w:hAnsi="Arial"/>
      <w:color w:val="3F3A38"/>
      <w:w w:val="100"/>
      <w:position w:val="-1"/>
      <w:sz w:val="18"/>
      <w:szCs w:val="18"/>
      <w:effect w:val="none"/>
      <w:shd w:val="clear" w:color="auto" w:fill="auto"/>
      <w:vertAlign w:val="baseline"/>
      <w:cs w:val="0"/>
      <w:em w:val="none"/>
    </w:rPr>
  </w:style>
  <w:style w:type="character" w:customStyle="1" w:styleId="NumberingSymbols">
    <w:name w:val="Numbering Symbols"/>
    <w:rPr>
      <w:w w:val="100"/>
      <w:position w:val="-1"/>
      <w:effect w:val="none"/>
      <w:vertAlign w:val="baseline"/>
      <w:cs w:val="0"/>
      <w:em w:val="none"/>
    </w:rPr>
  </w:style>
  <w:style w:type="character" w:customStyle="1" w:styleId="Bullets">
    <w:name w:val="Bullet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Numrodeligne">
    <w:name w:val="line number"/>
    <w:rPr>
      <w:w w:val="100"/>
      <w:position w:val="-1"/>
      <w:effect w:val="none"/>
      <w:vertAlign w:val="baseline"/>
      <w:cs w:val="0"/>
      <w:em w:val="none"/>
    </w:rPr>
  </w:style>
  <w:style w:type="character" w:styleId="Lienhypertexte">
    <w:name w:val="Hyperlink"/>
    <w:rPr>
      <w:color w:val="00000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ECVInternetLink">
    <w:name w:val="_ECV_InternetLink"/>
    <w:rPr>
      <w:rFonts w:ascii="Arial" w:hAnsi="Arial"/>
      <w:color w:val="3F3A38"/>
      <w:w w:val="100"/>
      <w:position w:val="-1"/>
      <w:sz w:val="18"/>
      <w:u w:val="single"/>
      <w:effect w:val="none"/>
      <w:shd w:val="clear" w:color="auto" w:fill="auto"/>
      <w:vertAlign w:val="baseline"/>
      <w:cs w:val="0"/>
      <w:em w:val="none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w w:val="100"/>
      <w:position w:val="-1"/>
      <w:sz w:val="18"/>
      <w:szCs w:val="18"/>
      <w:effect w:val="none"/>
      <w:shd w:val="clear" w:color="auto" w:fill="auto"/>
      <w:vertAlign w:val="baseline"/>
      <w:cs w:val="0"/>
      <w:em w:val="none"/>
    </w:rPr>
  </w:style>
  <w:style w:type="character" w:customStyle="1" w:styleId="EuropassTextSubscript">
    <w:name w:val="Europass_Text_Subscript"/>
    <w:rPr>
      <w:w w:val="100"/>
      <w:position w:val="-1"/>
      <w:effect w:val="none"/>
      <w:vertAlign w:val="subscript"/>
      <w:cs w:val="0"/>
      <w:em w:val="none"/>
    </w:rPr>
  </w:style>
  <w:style w:type="character" w:customStyle="1" w:styleId="EuropassTextSuperscript">
    <w:name w:val="Europass_Text_Superscript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uropassTextBold">
    <w:name w:val="Europass_Text_Bold"/>
    <w:rPr>
      <w:rFonts w:ascii="Arial" w:hAnsi="Arial"/>
      <w:b/>
      <w:w w:val="100"/>
      <w:position w:val="-1"/>
      <w:effect w:val="none"/>
      <w:vertAlign w:val="baseline"/>
      <w:cs w:val="0"/>
      <w:em w:val="none"/>
    </w:rPr>
  </w:style>
  <w:style w:type="character" w:customStyle="1" w:styleId="EuropassTextUnderline">
    <w:name w:val="Europass_Text_Underline"/>
    <w:rPr>
      <w:rFonts w:ascii="Arial" w:hAnsi="Arial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EuropassTextItalics">
    <w:name w:val="Europass_Text_Italics"/>
    <w:rPr>
      <w:rFonts w:ascii="Arial" w:hAnsi="Arial"/>
      <w:i/>
      <w:w w:val="100"/>
      <w:position w:val="-1"/>
      <w:effect w:val="none"/>
      <w:vertAlign w:val="baseline"/>
      <w:cs w:val="0"/>
      <w:em w:val="none"/>
    </w:rPr>
  </w:style>
  <w:style w:type="character" w:customStyle="1" w:styleId="EuropassTextBoldAndUnderline">
    <w:name w:val="Europass_Text_Bold_And_Underline"/>
    <w:rPr>
      <w:rFonts w:ascii="Arial" w:hAnsi="Arial"/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EuropassTextBoldAndItalics">
    <w:name w:val="Europass_Text_Bold_And_Italics"/>
    <w:rPr>
      <w:rFonts w:ascii="Arial" w:hAnsi="Arial"/>
      <w:b/>
      <w:i/>
      <w:w w:val="100"/>
      <w:position w:val="-1"/>
      <w:effect w:val="none"/>
      <w:vertAlign w:val="baseline"/>
      <w:cs w:val="0"/>
      <w:em w:val="none"/>
    </w:rPr>
  </w:style>
  <w:style w:type="character" w:customStyle="1" w:styleId="EuropassTextBoldAndUnderlineAndItalics">
    <w:name w:val="Europass_Text_Bold_And_Underline_And_Italics"/>
    <w:rPr>
      <w:rFonts w:ascii="Arial" w:hAnsi="Arial"/>
      <w:b/>
      <w:i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EuropassTextUnderlineAndItalics">
    <w:name w:val="Europass_Text_Underline_And_Italics"/>
    <w:rPr>
      <w:rFonts w:ascii="Arial" w:hAnsi="Arial"/>
      <w:i/>
      <w:w w:val="100"/>
      <w:position w:val="-1"/>
      <w:u w:val="single"/>
      <w:effect w:val="none"/>
      <w:vertAlign w:val="baseline"/>
      <w:cs w:val="0"/>
      <w:em w:val="none"/>
    </w:rPr>
  </w:style>
  <w:style w:type="character" w:styleId="Lienhypertextesuivivisit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Normal"/>
    <w:pPr>
      <w:spacing w:line="100" w:lineRule="atLeast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left="0" w:right="283" w:firstLine="0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  <w:ind w:left="0" w:firstLin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FirstPageParagraph">
    <w:name w:val="_ECV_First_Page_Paragraph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Lgende"/>
  </w:style>
  <w:style w:type="paragraph" w:customStyle="1" w:styleId="ECVSubSectionHeading">
    <w:name w:val="_ECV_SubSectionHeading"/>
    <w:basedOn w:val="ECVRightColumn"/>
    <w:pPr>
      <w:spacing w:before="0" w:line="100" w:lineRule="atLeast"/>
      <w:ind w:left="0" w:firstLin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20"/>
      <w:szCs w:val="20"/>
    </w:rPr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ECVPersonalStatement">
    <w:name w:val="_ECV_PersonalStatement"/>
    <w:basedOn w:val="ECVRightColumn"/>
    <w:pPr>
      <w:spacing w:before="0" w:after="56" w:line="100" w:lineRule="atLeast"/>
      <w:ind w:left="0" w:firstLine="0"/>
    </w:pPr>
    <w:rPr>
      <w:color w:val="3F3A38"/>
      <w:sz w:val="20"/>
      <w:szCs w:val="18"/>
    </w:rPr>
  </w:style>
  <w:style w:type="paragraph" w:customStyle="1" w:styleId="ECVSectionBullet">
    <w:name w:val="_ECV_SectionBullet"/>
    <w:basedOn w:val="EuropassSectionDetails"/>
    <w:pPr>
      <w:spacing w:before="0" w:after="0"/>
    </w:pPr>
  </w:style>
  <w:style w:type="paragraph" w:customStyle="1" w:styleId="CVMajor">
    <w:name w:val="CV Major"/>
    <w:basedOn w:val="Normal"/>
    <w:pPr>
      <w:ind w:left="113" w:right="113" w:firstLine="0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 w:firstLine="0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En-tte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uropass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En-tt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eddepage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uropass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left="0" w:right="283" w:firstLine="0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sdetexte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Personal">
    <w:name w:val="_ECV_OccupationalFieldHeadingPersonal"/>
    <w:basedOn w:val="ECVLeftHeading"/>
    <w:pPr>
      <w:spacing w:before="23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NextPagesParagraph">
    <w:name w:val="_ECV_Next_Pages_Paragraph"/>
    <w:basedOn w:val="ECVFirstPageParagraph"/>
    <w:pPr>
      <w:tabs>
        <w:tab w:val="clear" w:pos="2835"/>
        <w:tab w:val="clear" w:pos="10205"/>
        <w:tab w:val="left" w:pos="2807"/>
        <w:tab w:val="right" w:pos="10350"/>
      </w:tabs>
      <w:spacing w:before="153"/>
      <w:jc w:val="right"/>
      <w:textAlignment w:val="auto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ind w:left="0" w:firstLine="0"/>
      <w:jc w:val="right"/>
      <w:textAlignment w:val="bottom"/>
    </w:pPr>
    <w:rPr>
      <w:spacing w:val="0"/>
    </w:rPr>
  </w:style>
  <w:style w:type="paragraph" w:customStyle="1" w:styleId="ESPPagesParagraph">
    <w:name w:val="_ESP_Pages_Paragraph"/>
    <w:basedOn w:val="ECVNextPagesParagraph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5fnumbered5flist">
    <w:name w:val="europass_5f_numbered_5f_list"/>
    <w:basedOn w:val="EuropassSectionDetails"/>
  </w:style>
  <w:style w:type="paragraph" w:customStyle="1" w:styleId="europass5fbulleted5flist">
    <w:name w:val="europass_5f_bulleted_5f_list"/>
    <w:basedOn w:val="EuropassSectionDetails"/>
  </w:style>
  <w:style w:type="paragraph" w:customStyle="1" w:styleId="europass5fbulleted5flistindent1">
    <w:name w:val="europass_5f_bulleted_5f_list_indent1"/>
    <w:basedOn w:val="EuropassSectionDetails"/>
  </w:style>
  <w:style w:type="paragraph" w:customStyle="1" w:styleId="europass5fbulleted5flistindent2">
    <w:name w:val="europass_5f_bulleted_5f_list_indent2"/>
    <w:basedOn w:val="EuropassSectionDetails"/>
  </w:style>
  <w:style w:type="paragraph" w:customStyle="1" w:styleId="europass5fbulleted5flistindent3">
    <w:name w:val="europass_5f_bulleted_5f_list_indent3"/>
    <w:basedOn w:val="EuropassSectionDetails"/>
  </w:style>
  <w:style w:type="paragraph" w:customStyle="1" w:styleId="europassparagraphindented">
    <w:name w:val="europass_paragraph_indented"/>
    <w:basedOn w:val="EuropassSectionDetails"/>
    <w:pPr>
      <w:ind w:left="567" w:firstLine="0"/>
    </w:pPr>
  </w:style>
  <w:style w:type="paragraph" w:customStyle="1" w:styleId="europassparagraphindent1">
    <w:name w:val="europass_paragraph_indent1"/>
    <w:basedOn w:val="EuropassSectionDetails"/>
    <w:pPr>
      <w:ind w:left="213" w:firstLine="0"/>
    </w:pPr>
  </w:style>
  <w:style w:type="paragraph" w:customStyle="1" w:styleId="europassparagraphindent2">
    <w:name w:val="europass_paragraph_indent2"/>
    <w:basedOn w:val="EuropassSectionDetails"/>
    <w:pPr>
      <w:ind w:left="425" w:firstLine="0"/>
    </w:pPr>
  </w:style>
  <w:style w:type="paragraph" w:customStyle="1" w:styleId="europassparagraphindent3">
    <w:name w:val="europass_paragraph_indent3"/>
    <w:basedOn w:val="EuropassSectionDetails"/>
    <w:pPr>
      <w:ind w:left="638" w:firstLine="0"/>
    </w:pPr>
  </w:style>
  <w:style w:type="paragraph" w:customStyle="1" w:styleId="europassparagraphalignjustify">
    <w:name w:val="europass_paragraph_align_justify"/>
    <w:basedOn w:val="EuropassSectionDetails"/>
    <w:pPr>
      <w:jc w:val="both"/>
    </w:pPr>
  </w:style>
  <w:style w:type="paragraph" w:customStyle="1" w:styleId="europassparagraphindent1justify">
    <w:name w:val="europass_paragraph_indent1_justify"/>
    <w:basedOn w:val="EuropassSectionDetails"/>
    <w:pPr>
      <w:ind w:left="213" w:firstLine="0"/>
      <w:jc w:val="both"/>
    </w:pPr>
  </w:style>
  <w:style w:type="paragraph" w:customStyle="1" w:styleId="europassparagraphindent2justify">
    <w:name w:val="europass_paragraph_indent2_justify"/>
    <w:basedOn w:val="EuropassSectionDetails"/>
    <w:pPr>
      <w:ind w:left="425" w:firstLine="0"/>
      <w:jc w:val="both"/>
    </w:pPr>
  </w:style>
  <w:style w:type="paragraph" w:customStyle="1" w:styleId="europassparagraphindent3justify">
    <w:name w:val="europass_paragraph_indent3_justify"/>
    <w:basedOn w:val="EuropassSectionDetails"/>
    <w:pPr>
      <w:ind w:left="638" w:firstLine="0"/>
      <w:jc w:val="both"/>
    </w:pPr>
  </w:style>
  <w:style w:type="character" w:customStyle="1" w:styleId="Titre5Car">
    <w:name w:val="Titre 5 Car"/>
    <w:rPr>
      <w:rFonts w:ascii="Calibri Light" w:hAnsi="Calibri Light"/>
      <w:color w:val="2F5496"/>
      <w:w w:val="100"/>
      <w:position w:val="-1"/>
      <w:szCs w:val="24"/>
      <w:effect w:val="none"/>
      <w:vertAlign w:val="baseline"/>
      <w:cs w:val="0"/>
      <w:em w:val="none"/>
      <w:lang w:val="en-GB" w:eastAsia="en-US"/>
    </w:rPr>
  </w:style>
  <w:style w:type="character" w:styleId="Mentionnonrsolu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ChapterTitle">
    <w:name w:val="Chapter Title"/>
    <w:pPr>
      <w:suppressAutoHyphens/>
      <w:spacing w:before="120" w:after="200" w:line="360" w:lineRule="auto"/>
      <w:ind w:leftChars="-1" w:left="-1" w:hangingChars="1" w:hanging="1"/>
      <w:textDirection w:val="btLr"/>
      <w:textAlignment w:val="top"/>
      <w:outlineLvl w:val="1"/>
    </w:pPr>
    <w:rPr>
      <w:color w:val="0000FF"/>
      <w:position w:val="-1"/>
      <w:sz w:val="32"/>
      <w:lang w:val="en-GB" w:eastAsia="en-US"/>
    </w:rPr>
  </w:style>
  <w:style w:type="character" w:styleId="Accentuation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29228B"/>
    <w:pPr>
      <w:widowControl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spacing w:val="0"/>
      <w:kern w:val="0"/>
      <w:position w:val="0"/>
      <w:sz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6A573D"/>
    <w:pPr>
      <w:ind w:left="720"/>
      <w:contextualSpacing/>
    </w:pPr>
  </w:style>
  <w:style w:type="character" w:customStyle="1" w:styleId="base">
    <w:name w:val="base"/>
    <w:basedOn w:val="Policepardfaut"/>
    <w:rsid w:val="00D91355"/>
  </w:style>
  <w:style w:type="character" w:customStyle="1" w:styleId="book-header-componenttitle-text">
    <w:name w:val="book-header-component__title-text"/>
    <w:basedOn w:val="Policepardfaut"/>
    <w:rsid w:val="00AF1144"/>
  </w:style>
  <w:style w:type="character" w:customStyle="1" w:styleId="book-header-componentnobr">
    <w:name w:val="book-header-component__nobr"/>
    <w:basedOn w:val="Policepardfaut"/>
    <w:rsid w:val="00AF1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laparis2023.org/wp-content/uploads/2022/11/ADI-ILA-travail-VHD2-EN.pdf" TargetMode="External"/><Relationship Id="rId18" Type="http://schemas.openxmlformats.org/officeDocument/2006/relationships/hyperlink" Target="http://www.europeanpapers.eu/fr/europeanforum/free-movement-of-workers-covid-19-sanitary-crisis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ceps.eu/wp-content/uploads/2021/09/EPRS_STUD_European-added-value-of-EU-legal-migration-policy-and-law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uropass.cedefop.europa.eu/en/resources/european-language-levels-cefr" TargetMode="External"/><Relationship Id="rId17" Type="http://schemas.openxmlformats.org/officeDocument/2006/relationships/hyperlink" Target="https://www.cambridge.org/core/journals/european-law-open/article/posting-of-workers-in-the-european-union-an-exploitative-labour-system/6E5C77B02FD2A7841FADECCFC05A3CC6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ambridge.org/core/product/B8073D19BAB9C5F55476EDB9E75EFECF" TargetMode="External"/><Relationship Id="rId20" Type="http://schemas.openxmlformats.org/officeDocument/2006/relationships/hyperlink" Target="https://doi.org/10.1177/1023263X241309776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dx.doi.org/10.1787/5jlwxbzcfsq6-en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ambridge.org/core/journals/european-law-open" TargetMode="External"/><Relationship Id="rId23" Type="http://schemas.openxmlformats.org/officeDocument/2006/relationships/hyperlink" Target="http://www.gip-recherche-justice.fr/wp-content/uploads/2017/10/14-24-RAPPORT-FINAL.pdf" TargetMode="External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hyperlink" Target="http://hdl.handle.net/1814/63447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cambridge.org/core/journals/european-law-open/article/posting-of-workers-in-the-european-union-an-exploitative-labour-system/6E5C77B02FD2A7841FADECCFC05A3CC6" TargetMode="External"/><Relationship Id="rId22" Type="http://schemas.openxmlformats.org/officeDocument/2006/relationships/hyperlink" Target="https://ec.europa.eu/social/BlobServlet?docId=20576&amp;langId=en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qIbiOZo5kjiB/pMcGKfUkSwvtw==">CgMxLjAyCGguZ2pkZ3hzMgloLjMwajB6bGwyCWguMWZvYjl0ZTIJaC4zem55c2g3MgloLjJldDkycDA4AHIhMVYzLU56dkgxNWNaUk9PQWtkTldsN0cwYnVYeEc0WW1r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2806</Words>
  <Characters>15437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6</cp:revision>
  <dcterms:created xsi:type="dcterms:W3CDTF">2025-04-25T10:06:00Z</dcterms:created>
  <dcterms:modified xsi:type="dcterms:W3CDTF">2025-09-02T07:56:00Z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Sophie Robin-Olivier</vt:lpwstr>
  </property>
  <property fmtid="{D5CDD505-2E9C-101B-9397-08002B2CF9AE}" pid="3" name="Owner">
    <vt:lpwstr>Sophie Robin-Olivier</vt:lpwstr>
  </property>
</Properties>
</file>