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51C59" w14:textId="77777777" w:rsidR="00DA47AF" w:rsidRDefault="00DA47AF" w:rsidP="00DA47A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olor w:val="ED7D31" w:themeColor="accent2"/>
          <w:lang w:val="fr-FR"/>
        </w:rPr>
      </w:pPr>
      <w:r w:rsidRPr="006B75FC">
        <w:rPr>
          <w:rFonts w:ascii="Times New Roman" w:hAnsi="Times New Roman"/>
          <w:b/>
          <w:color w:val="ED7D31" w:themeColor="accent2"/>
          <w:sz w:val="36"/>
          <w:szCs w:val="36"/>
          <w:lang w:val="fr-FR"/>
        </w:rPr>
        <w:t>C</w:t>
      </w:r>
      <w:r w:rsidRPr="006B75FC">
        <w:rPr>
          <w:rFonts w:ascii="Times New Roman" w:hAnsi="Times New Roman"/>
          <w:b/>
          <w:color w:val="ED7D31" w:themeColor="accent2"/>
          <w:lang w:val="fr-FR"/>
        </w:rPr>
        <w:t xml:space="preserve">URRICULUM </w:t>
      </w:r>
      <w:r w:rsidRPr="006B75FC">
        <w:rPr>
          <w:rFonts w:ascii="Times New Roman" w:hAnsi="Times New Roman"/>
          <w:b/>
          <w:color w:val="ED7D31" w:themeColor="accent2"/>
          <w:sz w:val="36"/>
          <w:szCs w:val="36"/>
          <w:lang w:val="fr-FR"/>
        </w:rPr>
        <w:t>V</w:t>
      </w:r>
      <w:r w:rsidRPr="006B75FC">
        <w:rPr>
          <w:rFonts w:ascii="Times New Roman" w:hAnsi="Times New Roman"/>
          <w:b/>
          <w:color w:val="ED7D31" w:themeColor="accent2"/>
          <w:lang w:val="fr-FR"/>
        </w:rPr>
        <w:t>ITAE</w:t>
      </w:r>
    </w:p>
    <w:p w14:paraId="22BD55E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color w:val="ED7D31" w:themeColor="accent2"/>
          <w:lang w:val="fr-FR"/>
        </w:rPr>
      </w:pPr>
    </w:p>
    <w:p w14:paraId="54946085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</w:p>
    <w:p w14:paraId="5B47A89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F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ORMATION ET TITRES UNIVERSITAIRES</w:t>
      </w:r>
    </w:p>
    <w:p w14:paraId="671C176D" w14:textId="77777777" w:rsidR="00DA47AF" w:rsidRDefault="00DA47AF" w:rsidP="00DA47AF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Doctorat d’archéologie, Université Paris-Sorbonne (2007)</w:t>
      </w:r>
    </w:p>
    <w:p w14:paraId="3BBB97A0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ab/>
        <w:t>Cette thèse a obtenu le Prix de la Chancellerie des Université en 2008.</w:t>
      </w:r>
    </w:p>
    <w:p w14:paraId="26B4A59A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DEA d’archéologie, Université Paris-Sorbonne (2003)</w:t>
      </w:r>
    </w:p>
    <w:p w14:paraId="7B41BB9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Diplôme de restaurateur du Patrimoine à l’I</w:t>
      </w: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 xml:space="preserve">nstitut </w:t>
      </w: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N</w:t>
      </w: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 xml:space="preserve">ational du </w:t>
      </w: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P</w:t>
      </w: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>atrimoine</w:t>
      </w: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, spécialité peinture (2002)</w:t>
      </w:r>
    </w:p>
    <w:p w14:paraId="23C5937A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Lauréate du concours d’entrée à l’Insti</w:t>
      </w: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>tut National du Patrimoine</w:t>
      </w: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 xml:space="preserve"> (1998)</w:t>
      </w:r>
    </w:p>
    <w:p w14:paraId="6DB7751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L3 de Biochimie e</w:t>
      </w:r>
      <w:r>
        <w:rPr>
          <w:rFonts w:ascii="Times New Roman" w:hAnsi="Times New Roman" w:cs="TimesNewRomanPSMT"/>
          <w:color w:val="000000"/>
          <w:sz w:val="26"/>
          <w:szCs w:val="26"/>
          <w:lang w:val="fr-FR"/>
        </w:rPr>
        <w:t>t Chimie à l’université Pierre et Marie Curie Paris VI</w:t>
      </w: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 xml:space="preserve"> (1995)</w:t>
      </w:r>
    </w:p>
    <w:p w14:paraId="32135E3A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</w:p>
    <w:p w14:paraId="2C12A885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E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 xml:space="preserve">XPERIENCE DE LA RECHERCHE ET CONTRATS </w:t>
      </w: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P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OST</w:t>
      </w: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-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DOCTORAUX</w:t>
      </w:r>
    </w:p>
    <w:p w14:paraId="62D7BACD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before="120" w:after="120"/>
        <w:jc w:val="both"/>
        <w:outlineLvl w:val="0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Post-doctorats</w:t>
      </w:r>
    </w:p>
    <w:p w14:paraId="0926251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• Pensionnaire à l’Institut National d’Histoire de l’Art (INHA), Paris (2010-2014)</w:t>
      </w:r>
    </w:p>
    <w:p w14:paraId="1768A172" w14:textId="77777777" w:rsidR="00DA47AF" w:rsidRPr="00D74F10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en-US"/>
        </w:rPr>
      </w:pPr>
      <w:r w:rsidRPr="00D74F10">
        <w:rPr>
          <w:rFonts w:ascii="Times New Roman" w:hAnsi="Times New Roman" w:cs="TimesNewRomanPSMT"/>
          <w:color w:val="000000"/>
          <w:sz w:val="26"/>
          <w:szCs w:val="26"/>
          <w:lang w:val="en-US"/>
        </w:rPr>
        <w:t>• Postdoctoral Fellow au Getty Research Institute, Los Angeles (2009-2010)</w:t>
      </w:r>
    </w:p>
    <w:p w14:paraId="24064298" w14:textId="77777777" w:rsidR="00DA47AF" w:rsidRPr="00D74F10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en-US"/>
        </w:rPr>
      </w:pPr>
    </w:p>
    <w:p w14:paraId="1F35933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Durant le doctorat</w:t>
      </w:r>
    </w:p>
    <w:p w14:paraId="655C8DB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• Pensionnaire de l’Académie de France à Rome, villa Médicis (2005-2006).</w:t>
      </w:r>
    </w:p>
    <w:p w14:paraId="2AB4F022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</w:p>
    <w:p w14:paraId="7A6D1599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NewRomanPSMT"/>
          <w:color w:val="000000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000000"/>
          <w:sz w:val="26"/>
          <w:szCs w:val="26"/>
          <w:lang w:val="fr-FR"/>
        </w:rPr>
        <w:t>Bourses d’étude</w:t>
      </w:r>
    </w:p>
    <w:p w14:paraId="45E2993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• Bourse d’étude à la Casa de Velázquez, Madrid (octobre 2008)</w:t>
      </w:r>
    </w:p>
    <w:p w14:paraId="211C14DE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• Bourse de l’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Ecole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 Française de Rome (octobre à décembre 2004)</w:t>
      </w:r>
    </w:p>
    <w:p w14:paraId="4D594C3C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• Bourse de la fondation Carnot : séjour à Londres (juin à août 2004)</w:t>
      </w:r>
    </w:p>
    <w:p w14:paraId="75CE6D7D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32"/>
          <w:szCs w:val="32"/>
          <w:lang w:val="fr-FR"/>
        </w:rPr>
      </w:pPr>
    </w:p>
    <w:p w14:paraId="0B4B507F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O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RGANISATION DE COLLOQUES et JOURNEES d’ETUDES</w:t>
      </w:r>
    </w:p>
    <w:p w14:paraId="635BC3D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 xml:space="preserve">2019. V.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Beirnaert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-Mary, D.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Burlot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V.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Krings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>, O. Parsis-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Barubé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</w:t>
      </w:r>
      <w:r w:rsidRPr="006B75FC">
        <w:rPr>
          <w:rFonts w:ascii="Times New Roman" w:hAnsi="Times New Roman" w:cs="TimesNewRomanPSMT"/>
          <w:i/>
          <w:color w:val="000000"/>
          <w:lang w:val="fr-FR"/>
        </w:rPr>
        <w:t xml:space="preserve">Curieux antiquaires, </w:t>
      </w:r>
      <w:r w:rsidRPr="006B75FC">
        <w:rPr>
          <w:rFonts w:ascii="Times New Roman" w:hAnsi="Times New Roman"/>
          <w:i/>
          <w:sz w:val="22"/>
          <w:lang w:val="fr-FR"/>
        </w:rPr>
        <w:t>Réflexions autour d'une méthodologie pour aborder les sources de l'</w:t>
      </w:r>
      <w:proofErr w:type="spellStart"/>
      <w:r w:rsidRPr="006B75FC">
        <w:rPr>
          <w:rFonts w:ascii="Times New Roman" w:hAnsi="Times New Roman"/>
          <w:i/>
          <w:sz w:val="22"/>
          <w:lang w:val="fr-FR"/>
        </w:rPr>
        <w:t>antiquarisme</w:t>
      </w:r>
      <w:proofErr w:type="spellEnd"/>
      <w:r w:rsidRPr="006B75FC">
        <w:rPr>
          <w:rFonts w:ascii="Times New Roman" w:hAnsi="Times New Roman"/>
          <w:sz w:val="22"/>
          <w:lang w:val="fr-FR"/>
        </w:rPr>
        <w:t>, journée d’étude, forum antique de Bavay, 3 octobre.</w:t>
      </w:r>
    </w:p>
    <w:p w14:paraId="52742528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 xml:space="preserve">2017. F.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Bodenstein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D.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Burlot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D. Poulot, </w:t>
      </w:r>
      <w:r w:rsidRPr="006B75FC">
        <w:rPr>
          <w:rFonts w:ascii="Times New Roman" w:hAnsi="Times New Roman" w:cs="TimesNewRomanPSMT"/>
          <w:i/>
          <w:color w:val="000000"/>
          <w:lang w:val="fr-FR"/>
        </w:rPr>
        <w:t>Ex-Situ, faire vivre l’archéologie au musée et dans les expositions</w:t>
      </w:r>
      <w:r w:rsidRPr="006B75FC">
        <w:rPr>
          <w:rFonts w:ascii="Times New Roman" w:hAnsi="Times New Roman" w:cs="TimesNewRomanPSMT"/>
          <w:color w:val="000000"/>
          <w:lang w:val="fr-FR"/>
        </w:rPr>
        <w:t>, journée d’études, INHA, 20 et 21 octobre.</w:t>
      </w:r>
    </w:p>
    <w:p w14:paraId="4CC24F84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 xml:space="preserve">2016. D.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Burlot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I.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Kalinowski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. </w:t>
      </w:r>
      <w:r w:rsidRPr="006B75FC">
        <w:rPr>
          <w:rFonts w:ascii="Times New Roman" w:hAnsi="Times New Roman" w:cs="TimesNewRomanPSMT"/>
          <w:i/>
          <w:color w:val="000000"/>
          <w:lang w:val="fr-FR"/>
        </w:rPr>
        <w:t>Polychromie antique, théories, interprétations et recréations</w:t>
      </w:r>
      <w:r w:rsidRPr="006B75FC">
        <w:rPr>
          <w:rFonts w:ascii="Times New Roman" w:hAnsi="Times New Roman" w:cs="TimesNewRomanPSMT"/>
          <w:color w:val="000000"/>
          <w:lang w:val="fr-FR"/>
        </w:rPr>
        <w:t xml:space="preserve">. Table-ronde,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Labex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TransferS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>, PSL-ENS, 25 octobre.</w:t>
      </w:r>
    </w:p>
    <w:p w14:paraId="55714894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 xml:space="preserve">2014. D.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Burlot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Emmanuel </w:t>
      </w:r>
      <w:proofErr w:type="spellStart"/>
      <w:r w:rsidRPr="006B75FC">
        <w:rPr>
          <w:rFonts w:ascii="Times New Roman" w:hAnsi="Times New Roman" w:cs="TimesNewRomanPSMT"/>
          <w:color w:val="000000"/>
          <w:lang w:val="fr-FR"/>
        </w:rPr>
        <w:t>Lurin</w:t>
      </w:r>
      <w:proofErr w:type="spellEnd"/>
      <w:r w:rsidRPr="006B75FC">
        <w:rPr>
          <w:rFonts w:ascii="Times New Roman" w:hAnsi="Times New Roman" w:cs="TimesNewRomanPSMT"/>
          <w:color w:val="000000"/>
          <w:lang w:val="fr-FR"/>
        </w:rPr>
        <w:t xml:space="preserve">, </w:t>
      </w:r>
      <w:r w:rsidRPr="006B75FC">
        <w:rPr>
          <w:rFonts w:ascii="Times New Roman" w:hAnsi="Times New Roman" w:cs="TimesNewRomanPSMT"/>
          <w:i/>
          <w:iCs/>
          <w:color w:val="000000"/>
          <w:lang w:val="fr-FR"/>
        </w:rPr>
        <w:t>L’artiste et l’antiquaire</w:t>
      </w:r>
      <w:r w:rsidRPr="006B75FC">
        <w:rPr>
          <w:rFonts w:ascii="Times New Roman" w:hAnsi="Times New Roman" w:cs="TimesNewRomanPSMT"/>
          <w:iCs/>
          <w:color w:val="000000"/>
          <w:lang w:val="fr-FR"/>
        </w:rPr>
        <w:t xml:space="preserve">, colloque international, </w:t>
      </w:r>
      <w:r w:rsidRPr="006B75FC">
        <w:rPr>
          <w:rFonts w:ascii="Times New Roman" w:hAnsi="Times New Roman" w:cs="TimesNewRomanPSMT"/>
          <w:color w:val="000000"/>
          <w:lang w:val="fr-FR"/>
        </w:rPr>
        <w:t>INHA, 6 et 7 mars.</w:t>
      </w:r>
    </w:p>
    <w:p w14:paraId="75FA367F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</w:p>
    <w:p w14:paraId="1B09931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br w:type="page"/>
      </w: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lastRenderedPageBreak/>
        <w:t>E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XPERIENCE D</w:t>
      </w: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’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ENSEIGNEMENT</w:t>
      </w:r>
    </w:p>
    <w:p w14:paraId="595C6AAA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D</w:t>
      </w:r>
      <w:r w:rsidRPr="006B75FC">
        <w:rPr>
          <w:rFonts w:ascii="Times New Roman" w:hAnsi="Times New Roman" w:cs="TimesNewRomanPSMT"/>
          <w:color w:val="000000"/>
          <w:sz w:val="19"/>
          <w:szCs w:val="19"/>
          <w:lang w:val="fr-FR"/>
        </w:rPr>
        <w:t xml:space="preserve">EPUIS </w:t>
      </w:r>
      <w:r w:rsidRPr="006B75FC">
        <w:rPr>
          <w:rFonts w:ascii="Times New Roman" w:hAnsi="Times New Roman" w:cs="TimesNewRomanPSMT"/>
          <w:color w:val="000000"/>
          <w:lang w:val="fr-FR"/>
        </w:rPr>
        <w:t xml:space="preserve">2016. Maître de conférences à l’université Paris 1, département d’histoire de l’art et archéologie, spécialité </w:t>
      </w:r>
      <w:r w:rsidRPr="006B75FC">
        <w:rPr>
          <w:rFonts w:ascii="Times New Roman" w:hAnsi="Times New Roman" w:cs="TimesNewRomanPSMT"/>
          <w:i/>
          <w:color w:val="000000"/>
          <w:lang w:val="fr-FR"/>
        </w:rPr>
        <w:t>Patrimoine et Musées</w:t>
      </w:r>
      <w:r w:rsidRPr="006B75FC">
        <w:rPr>
          <w:rFonts w:ascii="Times New Roman" w:hAnsi="Times New Roman" w:cs="TimesNewRomanPSMT"/>
          <w:color w:val="000000"/>
          <w:lang w:val="fr-FR"/>
        </w:rPr>
        <w:t xml:space="preserve"> et </w:t>
      </w:r>
      <w:r w:rsidRPr="006B75FC">
        <w:rPr>
          <w:rFonts w:ascii="Times New Roman" w:hAnsi="Times New Roman" w:cs="TimesNewRomanPSMT"/>
          <w:i/>
          <w:color w:val="000000"/>
          <w:lang w:val="fr-FR"/>
        </w:rPr>
        <w:t>Conservation Restauration des Biens Culturels</w:t>
      </w:r>
    </w:p>
    <w:p w14:paraId="4974D40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 xml:space="preserve">Charge : cours du L1 au M2. </w:t>
      </w:r>
    </w:p>
    <w:p w14:paraId="21F6C2F9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Direction de mémoires de M1 et M2.</w:t>
      </w:r>
    </w:p>
    <w:p w14:paraId="12A2874D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smallCaps/>
          <w:color w:val="000000"/>
          <w:lang w:val="fr-FR"/>
        </w:rPr>
        <w:t>Avant 2016</w:t>
      </w:r>
      <w:r w:rsidRPr="006B75FC">
        <w:rPr>
          <w:rFonts w:ascii="Times New Roman" w:hAnsi="Times New Roman" w:cs="TimesNewRomanPSMT"/>
          <w:color w:val="000000"/>
          <w:lang w:val="fr-FR"/>
        </w:rPr>
        <w:t>. Charges de cours à Sorbonne Université.</w:t>
      </w:r>
    </w:p>
    <w:p w14:paraId="002D5B5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color w:val="000000"/>
          <w:lang w:val="fr-FR"/>
        </w:rPr>
        <w:t>Le détail des charge</w:t>
      </w:r>
      <w:r>
        <w:rPr>
          <w:rFonts w:ascii="Times New Roman" w:hAnsi="Times New Roman" w:cs="TimesNewRomanPSMT"/>
          <w:color w:val="000000"/>
          <w:lang w:val="fr-FR"/>
        </w:rPr>
        <w:t>s d’enseignement est donné page 8</w:t>
      </w:r>
      <w:r w:rsidRPr="006B75FC">
        <w:rPr>
          <w:rFonts w:ascii="Times New Roman" w:hAnsi="Times New Roman" w:cs="TimesNewRomanPSMT"/>
          <w:color w:val="000000"/>
          <w:lang w:val="fr-FR"/>
        </w:rPr>
        <w:t>.</w:t>
      </w:r>
    </w:p>
    <w:p w14:paraId="671594DB" w14:textId="77777777" w:rsidR="00DA47AF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000000"/>
          <w:sz w:val="32"/>
          <w:szCs w:val="32"/>
          <w:lang w:val="fr-FR"/>
        </w:rPr>
      </w:pPr>
    </w:p>
    <w:p w14:paraId="41FC929E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ED7D31" w:themeColor="accent2"/>
          <w:sz w:val="32"/>
          <w:szCs w:val="32"/>
          <w:lang w:val="fr-FR"/>
        </w:rPr>
        <w:t>E</w:t>
      </w: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XPERIENCE PROFESSIONNELLE DANS LE DOMAINE DE LA</w:t>
      </w:r>
    </w:p>
    <w:p w14:paraId="11917F55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</w:pPr>
      <w:r w:rsidRPr="006B75FC">
        <w:rPr>
          <w:rFonts w:ascii="Times New Roman" w:hAnsi="Times New Roman" w:cs="TimesNewRomanPSMT"/>
          <w:color w:val="ED7D31" w:themeColor="accent2"/>
          <w:sz w:val="26"/>
          <w:szCs w:val="26"/>
          <w:lang w:val="fr-FR"/>
        </w:rPr>
        <w:t>RESTAURATION</w:t>
      </w:r>
    </w:p>
    <w:p w14:paraId="15CEA1BE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NewRomanPSMT"/>
          <w:b/>
          <w:color w:val="000000"/>
          <w:lang w:val="fr-FR"/>
        </w:rPr>
      </w:pPr>
      <w:r w:rsidRPr="006B75FC">
        <w:rPr>
          <w:rFonts w:ascii="Times New Roman" w:hAnsi="Times New Roman" w:cs="TimesNewRomanPSMT"/>
          <w:b/>
          <w:color w:val="000000"/>
          <w:lang w:val="fr-FR"/>
        </w:rPr>
        <w:t>E</w:t>
      </w:r>
      <w:r w:rsidRPr="006B75FC">
        <w:rPr>
          <w:rFonts w:ascii="Times New Roman" w:hAnsi="Times New Roman" w:cs="TimesNewRomanPSMT"/>
          <w:b/>
          <w:color w:val="000000"/>
          <w:sz w:val="19"/>
          <w:szCs w:val="19"/>
          <w:lang w:val="fr-FR"/>
        </w:rPr>
        <w:t xml:space="preserve">TUDES </w:t>
      </w:r>
      <w:r w:rsidRPr="006B75FC">
        <w:rPr>
          <w:rFonts w:ascii="Times New Roman" w:hAnsi="Times New Roman" w:cs="TimesNewRomanPSMT"/>
          <w:b/>
          <w:color w:val="000000"/>
          <w:lang w:val="fr-FR"/>
        </w:rPr>
        <w:t>(réalisées en nom propre) :</w:t>
      </w:r>
    </w:p>
    <w:p w14:paraId="331FC2E7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antiques</w:t>
      </w:r>
    </w:p>
    <w:p w14:paraId="6484D954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Etude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sanitaire de la collection de peintures romaines antiques du musée du Louvre (2009)</w:t>
      </w:r>
    </w:p>
    <w:p w14:paraId="57925B4F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Etude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de fragments de peinture antique trouvés dans les fouilles de la villa Médicis pour</w:t>
      </w:r>
      <w:r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</w:t>
      </w: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l’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Ecole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Française de Rome (V. Jolivet) (2005)</w:t>
      </w:r>
    </w:p>
    <w:p w14:paraId="24C5BFD7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Etude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d’une tombe peinte du </w:t>
      </w:r>
      <w:r w:rsidRPr="006B75FC">
        <w:rPr>
          <w:rFonts w:ascii="Times New Roman" w:hAnsi="Times New Roman" w:cs="TimesNewRomanPSMT"/>
          <w:color w:val="000000"/>
          <w:sz w:val="18"/>
          <w:szCs w:val="18"/>
          <w:lang w:val="fr-FR"/>
        </w:rPr>
        <w:t>I</w:t>
      </w:r>
      <w:r>
        <w:rPr>
          <w:rFonts w:ascii="Times New Roman" w:hAnsi="Times New Roman" w:cs="TimesNewRomanPSMT"/>
          <w:color w:val="000000"/>
          <w:sz w:val="18"/>
          <w:szCs w:val="18"/>
          <w:lang w:val="fr-FR"/>
        </w:rPr>
        <w:t>I</w:t>
      </w:r>
      <w:r w:rsidRPr="00F22155">
        <w:rPr>
          <w:rFonts w:ascii="Times New Roman" w:hAnsi="Times New Roman" w:cs="TimesNewRomanPSMT"/>
          <w:color w:val="000000"/>
          <w:sz w:val="18"/>
          <w:szCs w:val="18"/>
          <w:vertAlign w:val="superscript"/>
          <w:lang w:val="fr-FR"/>
        </w:rPr>
        <w:t>e</w:t>
      </w:r>
      <w:r>
        <w:rPr>
          <w:rFonts w:ascii="Times New Roman" w:hAnsi="Times New Roman" w:cs="TimesNewRomanPSMT"/>
          <w:color w:val="000000"/>
          <w:sz w:val="18"/>
          <w:szCs w:val="18"/>
          <w:lang w:val="fr-FR"/>
        </w:rPr>
        <w:t>-III</w:t>
      </w:r>
      <w:r w:rsidRPr="00F22155">
        <w:rPr>
          <w:rFonts w:ascii="Times New Roman" w:hAnsi="Times New Roman" w:cs="TimesNewRomanPSMT"/>
          <w:color w:val="000000"/>
          <w:sz w:val="18"/>
          <w:szCs w:val="18"/>
          <w:vertAlign w:val="superscript"/>
          <w:lang w:val="fr-FR"/>
        </w:rPr>
        <w:t>e</w:t>
      </w:r>
      <w:r w:rsidRPr="006B75FC">
        <w:rPr>
          <w:rFonts w:ascii="Times New Roman" w:hAnsi="Times New Roman" w:cs="TimesNewRomanPSMT"/>
          <w:color w:val="000000"/>
          <w:sz w:val="14"/>
          <w:szCs w:val="14"/>
          <w:lang w:val="fr-FR"/>
        </w:rPr>
        <w:t xml:space="preserve"> </w:t>
      </w: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siècle à Palmyre, Syrie, mission CNRS (H.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Eristov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) (2005)</w:t>
      </w:r>
    </w:p>
    <w:p w14:paraId="515D6249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de l’époque moderne</w:t>
      </w:r>
    </w:p>
    <w:p w14:paraId="069079C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Etude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des peintures murales de l’église de Saint-Benoît sur Seine, Aube (2008)</w:t>
      </w:r>
    </w:p>
    <w:p w14:paraId="6F9D0A1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contemporaines</w:t>
      </w:r>
    </w:p>
    <w:p w14:paraId="769991D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Etude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du plafond Lorjou au musée de la Chasse et de la Nature (2005)</w:t>
      </w:r>
    </w:p>
    <w:p w14:paraId="7C7CAB76" w14:textId="77777777" w:rsidR="00DA47AF" w:rsidRPr="006A6D2D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lang w:val="fr-FR"/>
        </w:rPr>
      </w:pPr>
      <w:r w:rsidRPr="006A6D2D">
        <w:rPr>
          <w:rFonts w:ascii="Times New Roman" w:hAnsi="Times New Roman" w:cs="TimesNewRomanPSMT"/>
          <w:i/>
          <w:color w:val="000000"/>
          <w:sz w:val="22"/>
          <w:lang w:val="fr-FR"/>
        </w:rPr>
        <w:t>Peintures éthiopiennes</w:t>
      </w:r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dans le cadre des missions CNRS dirigées par Claire Bosc-</w:t>
      </w: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Tiessé</w:t>
      </w:r>
      <w:proofErr w:type="spellEnd"/>
    </w:p>
    <w:p w14:paraId="55CABD49" w14:textId="77777777" w:rsidR="00DA47AF" w:rsidRPr="006A6D2D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lang w:val="fr-FR"/>
        </w:rPr>
      </w:pP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Etude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sanitaire de l’ensemble des peintures de l</w:t>
      </w:r>
      <w:r>
        <w:rPr>
          <w:rFonts w:ascii="Times New Roman" w:hAnsi="Times New Roman" w:cs="TimesNewRomanPSMT"/>
          <w:color w:val="000000"/>
          <w:sz w:val="22"/>
          <w:lang w:val="fr-FR"/>
        </w:rPr>
        <w:t>’</w:t>
      </w:r>
      <w:proofErr w:type="spellStart"/>
      <w:r>
        <w:rPr>
          <w:rFonts w:ascii="Times New Roman" w:hAnsi="Times New Roman" w:cs="TimesNewRomanPSMT"/>
          <w:color w:val="000000"/>
          <w:sz w:val="22"/>
          <w:lang w:val="fr-FR"/>
        </w:rPr>
        <w:t>Eglise</w:t>
      </w:r>
      <w:proofErr w:type="spellEnd"/>
      <w:r>
        <w:rPr>
          <w:rFonts w:ascii="Times New Roman" w:hAnsi="Times New Roman" w:cs="TimesNewRomanPSMT"/>
          <w:color w:val="000000"/>
          <w:sz w:val="22"/>
          <w:lang w:val="fr-FR"/>
        </w:rPr>
        <w:t xml:space="preserve"> de </w:t>
      </w:r>
      <w:proofErr w:type="spellStart"/>
      <w:r>
        <w:rPr>
          <w:rFonts w:ascii="Times New Roman" w:hAnsi="Times New Roman" w:cs="TimesNewRomanPSMT"/>
          <w:color w:val="000000"/>
          <w:sz w:val="22"/>
          <w:lang w:val="fr-FR"/>
        </w:rPr>
        <w:t>Qorqor</w:t>
      </w:r>
      <w:proofErr w:type="spellEnd"/>
      <w:r>
        <w:rPr>
          <w:rFonts w:ascii="Times New Roman" w:hAnsi="Times New Roman" w:cs="TimesNewRomanPSMT"/>
          <w:color w:val="000000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NewRomanPSMT"/>
          <w:color w:val="000000"/>
          <w:sz w:val="22"/>
          <w:lang w:val="fr-FR"/>
        </w:rPr>
        <w:t>Maryam</w:t>
      </w:r>
      <w:proofErr w:type="spellEnd"/>
      <w:r>
        <w:rPr>
          <w:rFonts w:ascii="Times New Roman" w:hAnsi="Times New Roman" w:cs="TimesNewRomanPSMT"/>
          <w:color w:val="000000"/>
          <w:sz w:val="22"/>
          <w:lang w:val="fr-FR"/>
        </w:rPr>
        <w:t xml:space="preserve"> (</w:t>
      </w:r>
      <w:proofErr w:type="spellStart"/>
      <w:r>
        <w:rPr>
          <w:rFonts w:ascii="Times New Roman" w:hAnsi="Times New Roman" w:cs="TimesNewRomanPSMT"/>
          <w:color w:val="000000"/>
          <w:sz w:val="22"/>
          <w:lang w:val="fr-FR"/>
        </w:rPr>
        <w:t>Geralta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) (2018), </w:t>
      </w:r>
    </w:p>
    <w:p w14:paraId="5DCC7741" w14:textId="77777777" w:rsidR="00DA47AF" w:rsidRPr="006A6D2D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lang w:val="fr-FR"/>
        </w:rPr>
      </w:pP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Etude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sanitaire du pilier peint dans l’église de </w:t>
      </w: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Merqorewos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(Lalibela) (2018)</w:t>
      </w:r>
    </w:p>
    <w:p w14:paraId="0807DB5F" w14:textId="77777777" w:rsidR="00DA47AF" w:rsidRPr="006A6D2D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lang w:val="fr-FR"/>
        </w:rPr>
      </w:pP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Etude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des peintures de l’église de Beta-</w:t>
      </w:r>
      <w:proofErr w:type="spellStart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>Maryam</w:t>
      </w:r>
      <w:proofErr w:type="spellEnd"/>
      <w:r w:rsidRPr="006A6D2D">
        <w:rPr>
          <w:rFonts w:ascii="Times New Roman" w:hAnsi="Times New Roman" w:cs="TimesNewRomanPSMT"/>
          <w:color w:val="000000"/>
          <w:sz w:val="22"/>
          <w:lang w:val="fr-FR"/>
        </w:rPr>
        <w:t xml:space="preserve"> (Lalibela) (2019)</w:t>
      </w:r>
    </w:p>
    <w:p w14:paraId="30778E6D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lang w:val="fr-FR"/>
        </w:rPr>
      </w:pPr>
    </w:p>
    <w:p w14:paraId="759FA6F0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120"/>
        <w:jc w:val="both"/>
        <w:outlineLvl w:val="0"/>
        <w:rPr>
          <w:rFonts w:ascii="Times New Roman" w:hAnsi="Times New Roman" w:cs="TimesNewRomanPSMT"/>
          <w:color w:val="000000"/>
          <w:lang w:val="fr-FR"/>
        </w:rPr>
      </w:pPr>
      <w:r w:rsidRPr="006B75FC">
        <w:rPr>
          <w:rFonts w:ascii="Times New Roman" w:hAnsi="Times New Roman" w:cs="TimesNewRomanPSMT"/>
          <w:b/>
          <w:color w:val="000000"/>
          <w:lang w:val="fr-FR"/>
        </w:rPr>
        <w:t>R</w:t>
      </w:r>
      <w:r w:rsidRPr="006B75FC">
        <w:rPr>
          <w:rFonts w:ascii="Times New Roman" w:hAnsi="Times New Roman" w:cs="TimesNewRomanPSMT"/>
          <w:b/>
          <w:color w:val="000000"/>
          <w:sz w:val="19"/>
          <w:szCs w:val="19"/>
          <w:lang w:val="fr-FR"/>
        </w:rPr>
        <w:t>ESTAURATION DE PEINTURES MURALES</w:t>
      </w:r>
      <w:r w:rsidRPr="006B75FC">
        <w:rPr>
          <w:rFonts w:ascii="Times New Roman" w:hAnsi="Times New Roman" w:cs="TimesNewRomanPSMT"/>
          <w:color w:val="000000"/>
          <w:sz w:val="19"/>
          <w:szCs w:val="19"/>
          <w:lang w:val="fr-FR"/>
        </w:rPr>
        <w:t xml:space="preserve"> </w:t>
      </w:r>
      <w:r w:rsidRPr="006B75FC">
        <w:rPr>
          <w:rFonts w:ascii="Times New Roman" w:hAnsi="Times New Roman" w:cs="TimesNewRomanPSMT"/>
          <w:color w:val="000000"/>
          <w:lang w:val="fr-FR"/>
        </w:rPr>
        <w:t>: (</w:t>
      </w:r>
      <w:r w:rsidRPr="006B75FC">
        <w:rPr>
          <w:rFonts w:ascii="Times New Roman" w:hAnsi="Times New Roman" w:cs="TimesNewRomanPSMT"/>
          <w:color w:val="000000"/>
          <w:sz w:val="20"/>
          <w:szCs w:val="20"/>
          <w:lang w:val="fr-FR"/>
        </w:rPr>
        <w:t>en gras : chantiers réalisés en nom propre</w:t>
      </w:r>
      <w:r w:rsidRPr="006B75FC">
        <w:rPr>
          <w:rFonts w:ascii="Times New Roman" w:hAnsi="Times New Roman" w:cs="TimesNewRomanPSMT"/>
          <w:color w:val="000000"/>
          <w:lang w:val="fr-FR"/>
        </w:rPr>
        <w:t>)</w:t>
      </w:r>
    </w:p>
    <w:p w14:paraId="08D44000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antiques</w:t>
      </w:r>
    </w:p>
    <w:p w14:paraId="51A7E86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>Musée du Louvre</w:t>
      </w: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, département des Antiquités Grecques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Etrusques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et Romaines : restauration</w:t>
      </w:r>
    </w:p>
    <w:p w14:paraId="318AF422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proofErr w:type="gram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de</w:t>
      </w:r>
      <w:proofErr w:type="gram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fragments de peinture romaine, grecque et minoenne (2002-2016)</w:t>
      </w:r>
    </w:p>
    <w:p w14:paraId="3AC491D8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>BnF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, Cabinet des Médailles : restauration de fragments de peinture romaine (2003-2004)</w:t>
      </w:r>
    </w:p>
    <w:p w14:paraId="221BEEFA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Musée National du Moyen-âge, Thermes de Cluny, Frigidarium (2009)</w:t>
      </w:r>
    </w:p>
    <w:p w14:paraId="24ABA8B1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médiévales</w:t>
      </w:r>
    </w:p>
    <w:p w14:paraId="687346C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Les Salles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Lavauguyon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(Limousin), église Saint-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Eutrope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(2008)</w:t>
      </w:r>
    </w:p>
    <w:p w14:paraId="296FD84D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Vélogny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(Bourgogne), église (2003)</w:t>
      </w:r>
    </w:p>
    <w:p w14:paraId="42C9D3C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Plauzat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 (Auvergne), église (2003)</w:t>
      </w:r>
    </w:p>
    <w:p w14:paraId="53CEFA12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Renaissance</w:t>
      </w:r>
    </w:p>
    <w:p w14:paraId="465C70E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Château d’Oiron : galerie des batailles (2007-2008)</w:t>
      </w:r>
    </w:p>
    <w:p w14:paraId="636380F7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Château d’Ancy-le-Franc : galerie de Pharsale, Salle de Diane (2001-2002)</w:t>
      </w:r>
    </w:p>
    <w:p w14:paraId="7B576F0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Cuisery (Bourgogne), église, chapelle Caron (2004)</w:t>
      </w:r>
    </w:p>
    <w:p w14:paraId="644B3D9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Soulaisne</w:t>
      </w:r>
      <w:proofErr w:type="spellEnd"/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-Dhuys (Haute-Marne) maison particulière (2003)</w:t>
      </w:r>
    </w:p>
    <w:p w14:paraId="35862F1B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de l’époque moderne</w:t>
      </w:r>
    </w:p>
    <w:p w14:paraId="77C9FE90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>Sénozan</w:t>
      </w:r>
      <w:proofErr w:type="spellEnd"/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 xml:space="preserve"> </w:t>
      </w: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(Bourgogne), église (2007-2008)</w:t>
      </w:r>
    </w:p>
    <w:p w14:paraId="1B37DFC3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 xml:space="preserve">• </w:t>
      </w:r>
      <w:proofErr w:type="spellStart"/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>Clairfayts</w:t>
      </w:r>
      <w:proofErr w:type="spellEnd"/>
      <w:r w:rsidRPr="006B75FC">
        <w:rPr>
          <w:rFonts w:ascii="Times New Roman" w:hAnsi="Times New Roman" w:cs="TimesNewRomanPSMT"/>
          <w:b/>
          <w:bCs/>
          <w:color w:val="000000"/>
          <w:sz w:val="22"/>
          <w:szCs w:val="22"/>
          <w:lang w:val="fr-FR"/>
        </w:rPr>
        <w:t xml:space="preserve"> </w:t>
      </w: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(Nord) (2004)</w:t>
      </w:r>
    </w:p>
    <w:p w14:paraId="499002A6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Versailles, château, salon des Nobles (2002)</w:t>
      </w:r>
    </w:p>
    <w:p w14:paraId="34C266BC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La Roche-Guyon, château (2010)</w:t>
      </w:r>
    </w:p>
    <w:p w14:paraId="20EBF844" w14:textId="77777777" w:rsidR="00DA47AF" w:rsidRPr="006B75FC" w:rsidRDefault="00DA47AF" w:rsidP="00DA47AF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i/>
          <w:iCs/>
          <w:color w:val="000000"/>
          <w:sz w:val="22"/>
          <w:szCs w:val="22"/>
          <w:lang w:val="fr-FR"/>
        </w:rPr>
        <w:t>Peintures contemporaines</w:t>
      </w:r>
    </w:p>
    <w:p w14:paraId="70D95406" w14:textId="7CCCD8C5" w:rsidR="00FA4D0A" w:rsidRPr="004B32D3" w:rsidRDefault="00DA47AF" w:rsidP="004B32D3">
      <w:pPr>
        <w:jc w:val="both"/>
        <w:rPr>
          <w:rFonts w:ascii="Times New Roman" w:hAnsi="Times New Roman" w:cs="TimesNewRomanPSMT"/>
          <w:color w:val="000000"/>
          <w:sz w:val="22"/>
          <w:szCs w:val="22"/>
          <w:lang w:val="fr-FR"/>
        </w:rPr>
      </w:pPr>
      <w:r w:rsidRPr="006B75FC">
        <w:rPr>
          <w:rFonts w:ascii="Times New Roman" w:hAnsi="Times New Roman" w:cs="TimesNewRomanPSMT"/>
          <w:color w:val="000000"/>
          <w:sz w:val="22"/>
          <w:szCs w:val="22"/>
          <w:lang w:val="fr-FR"/>
        </w:rPr>
        <w:t>• Paris, Salle Wagram : vestibule (2008)</w:t>
      </w:r>
    </w:p>
    <w:sectPr w:rsidR="00FA4D0A" w:rsidRPr="004B3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FC87A" w14:textId="77777777" w:rsidR="000C7867" w:rsidRDefault="000C7867" w:rsidP="004B32D3">
      <w:pPr>
        <w:spacing w:after="0"/>
      </w:pPr>
      <w:r>
        <w:separator/>
      </w:r>
    </w:p>
  </w:endnote>
  <w:endnote w:type="continuationSeparator" w:id="0">
    <w:p w14:paraId="729CB5FB" w14:textId="77777777" w:rsidR="000C7867" w:rsidRDefault="000C7867" w:rsidP="004B32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389335917"/>
      <w:docPartObj>
        <w:docPartGallery w:val="Page Numbers (Bottom of Page)"/>
        <w:docPartUnique/>
      </w:docPartObj>
    </w:sdtPr>
    <w:sdtContent>
      <w:p w14:paraId="475C4477" w14:textId="62F470CE" w:rsidR="004B32D3" w:rsidRDefault="004B32D3" w:rsidP="002A409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2C94FC" w14:textId="77777777" w:rsidR="004B32D3" w:rsidRDefault="004B32D3" w:rsidP="004B32D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556144971"/>
      <w:docPartObj>
        <w:docPartGallery w:val="Page Numbers (Bottom of Page)"/>
        <w:docPartUnique/>
      </w:docPartObj>
    </w:sdtPr>
    <w:sdtContent>
      <w:p w14:paraId="156EFB49" w14:textId="174D2315" w:rsidR="004B32D3" w:rsidRDefault="004B32D3" w:rsidP="002A409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A1E3F4C" w14:textId="77777777" w:rsidR="004B32D3" w:rsidRDefault="004B32D3" w:rsidP="004B32D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8BDD7" w14:textId="77777777" w:rsidR="004B32D3" w:rsidRDefault="004B32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4B56D" w14:textId="77777777" w:rsidR="000C7867" w:rsidRDefault="000C7867" w:rsidP="004B32D3">
      <w:pPr>
        <w:spacing w:after="0"/>
      </w:pPr>
      <w:r>
        <w:separator/>
      </w:r>
    </w:p>
  </w:footnote>
  <w:footnote w:type="continuationSeparator" w:id="0">
    <w:p w14:paraId="3733E228" w14:textId="77777777" w:rsidR="000C7867" w:rsidRDefault="000C7867" w:rsidP="004B32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8E80D" w14:textId="77777777" w:rsidR="004B32D3" w:rsidRDefault="004B32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E4CA4" w14:textId="09E82B53" w:rsidR="004B32D3" w:rsidRPr="004B32D3" w:rsidRDefault="004B32D3">
    <w:pPr>
      <w:pStyle w:val="En-tte"/>
      <w:rPr>
        <w:sz w:val="20"/>
        <w:szCs w:val="20"/>
        <w:lang w:val="fr-FR"/>
      </w:rPr>
    </w:pPr>
    <w:r w:rsidRPr="004B32D3">
      <w:rPr>
        <w:sz w:val="20"/>
        <w:szCs w:val="20"/>
        <w:lang w:val="fr-FR"/>
      </w:rPr>
      <w:t xml:space="preserve">Delphine </w:t>
    </w:r>
    <w:proofErr w:type="spellStart"/>
    <w:r w:rsidRPr="004B32D3">
      <w:rPr>
        <w:sz w:val="20"/>
        <w:szCs w:val="20"/>
        <w:lang w:val="fr-FR"/>
      </w:rPr>
      <w:t>Morana</w:t>
    </w:r>
    <w:proofErr w:type="spellEnd"/>
    <w:r w:rsidRPr="004B32D3">
      <w:rPr>
        <w:sz w:val="20"/>
        <w:szCs w:val="20"/>
        <w:lang w:val="fr-FR"/>
      </w:rPr>
      <w:t xml:space="preserve"> </w:t>
    </w:r>
    <w:proofErr w:type="spellStart"/>
    <w:r w:rsidRPr="004B32D3">
      <w:rPr>
        <w:sz w:val="20"/>
        <w:szCs w:val="20"/>
        <w:lang w:val="fr-FR"/>
      </w:rPr>
      <w:t>Burlot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6EBE2" w14:textId="77777777" w:rsidR="004B32D3" w:rsidRDefault="004B32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AF"/>
    <w:rsid w:val="000C7867"/>
    <w:rsid w:val="004B32D3"/>
    <w:rsid w:val="00C51F37"/>
    <w:rsid w:val="00DA47AF"/>
    <w:rsid w:val="00DC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67AA9"/>
  <w15:chartTrackingRefBased/>
  <w15:docId w15:val="{A58C1B30-EF6B-0F40-9A42-AA2C43C3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7AF"/>
    <w:pPr>
      <w:spacing w:after="200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B32D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B32D3"/>
    <w:rPr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4B32D3"/>
  </w:style>
  <w:style w:type="paragraph" w:styleId="En-tte">
    <w:name w:val="header"/>
    <w:basedOn w:val="Normal"/>
    <w:link w:val="En-tteCar"/>
    <w:uiPriority w:val="99"/>
    <w:unhideWhenUsed/>
    <w:rsid w:val="004B32D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B32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Morana Burlot</dc:creator>
  <cp:keywords/>
  <dc:description/>
  <cp:lastModifiedBy>Delphine Morana Burlot</cp:lastModifiedBy>
  <cp:revision>2</cp:revision>
  <dcterms:created xsi:type="dcterms:W3CDTF">2021-10-20T10:19:00Z</dcterms:created>
  <dcterms:modified xsi:type="dcterms:W3CDTF">2021-10-20T10:20:00Z</dcterms:modified>
</cp:coreProperties>
</file>